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widowControl w:val="0"/>
        <w:spacing w:line="258" w:lineRule="auto"/>
        <w:jc w:val="right"/>
        <w:rPr>
          <w:rFonts w:ascii="Times New Roman" w:cs="Times New Roman" w:eastAsia="Times New Roman" w:hAnsi="Times New Roman"/>
          <w:b w:val="1"/>
          <w:bCs w:val="1"/>
          <w:sz w:val="180"/>
          <w:szCs w:val="180"/>
        </w:rPr>
      </w:pPr>
      <w:r w:rsidDel="00000000" w:rsidR="00000000" w:rsidRPr="00000000">
        <w:rPr>
          <w:rFonts w:ascii="Times New Roman" w:cs="Times New Roman" w:eastAsia="Times New Roman" w:hAnsi="Times New Roman"/>
          <w:b w:val="1"/>
          <w:bCs w:val="1"/>
          <w:sz w:val="180"/>
          <w:szCs w:val="180"/>
          <w:rtl w:val="0"/>
        </w:rPr>
        <w:t xml:space="preserve">CCEMUN</w:t>
      </w:r>
      <w:r w:rsidDel="00000000" w:rsidR="00000000" w:rsidRPr="00000000">
        <w:rPr>
          <w:rtl w:val="0"/>
        </w:rPr>
      </w:r>
    </w:p>
    <w:p w:rsidR="00000000" w:rsidDel="00000000" w:rsidP="00000000" w:rsidRDefault="00000000" w:rsidRPr="00000000" w14:paraId="00000003">
      <w:pPr>
        <w:widowControl w:val="0"/>
        <w:spacing w:line="258" w:lineRule="auto"/>
        <w:jc w:val="right"/>
        <w:rPr>
          <w:rFonts w:ascii="Times New Roman" w:cs="Times New Roman" w:eastAsia="Times New Roman" w:hAnsi="Times New Roman"/>
          <w:b w:val="1"/>
          <w:bCs w:val="1"/>
          <w:sz w:val="144"/>
          <w:szCs w:val="144"/>
        </w:rPr>
      </w:pPr>
      <w:r w:rsidDel="00000000" w:rsidR="00000000" w:rsidRPr="00000000">
        <w:rPr>
          <w:rFonts w:ascii="Times New Roman" w:cs="Times New Roman" w:eastAsia="Times New Roman" w:hAnsi="Times New Roman"/>
          <w:b w:val="1"/>
          <w:bCs w:val="1"/>
          <w:sz w:val="144"/>
          <w:szCs w:val="144"/>
          <w:rtl w:val="0"/>
        </w:rPr>
        <w:t xml:space="preserve">2026</w:t>
      </w:r>
    </w:p>
    <w:p w:rsidR="00000000" w:rsidDel="00000000" w:rsidP="00000000" w:rsidRDefault="00000000" w:rsidRPr="00000000" w14:paraId="00000004">
      <w:pPr>
        <w:widowControl w:val="0"/>
        <w:spacing w:line="258" w:lineRule="auto"/>
        <w:rPr>
          <w:rFonts w:ascii="Times New Roman" w:cs="Times New Roman" w:eastAsia="Times New Roman" w:hAnsi="Times New Roman"/>
          <w:b w:val="1"/>
          <w:bCs w:val="1"/>
          <w:sz w:val="144"/>
          <w:szCs w:val="144"/>
        </w:rPr>
      </w:pPr>
      <w:r w:rsidDel="00000000" w:rsidR="00000000" w:rsidRPr="00000000">
        <w:rPr>
          <w:rFonts w:ascii="Times New Roman" w:cs="Times New Roman" w:eastAsia="Times New Roman" w:hAnsi="Times New Roman"/>
          <w:b w:val="1"/>
          <w:bCs w:val="1"/>
          <w:sz w:val="144"/>
          <w:szCs w:val="144"/>
          <w:rtl w:val="0"/>
        </w:rPr>
        <w:t xml:space="preserve">GUÍA </w:t>
      </w:r>
    </w:p>
    <w:p w:rsidR="00000000" w:rsidDel="00000000" w:rsidP="00000000" w:rsidRDefault="00000000" w:rsidRPr="00000000" w14:paraId="00000005">
      <w:pPr>
        <w:widowControl w:val="0"/>
        <w:spacing w:line="258" w:lineRule="auto"/>
        <w:rPr>
          <w:rFonts w:ascii="Times New Roman" w:cs="Times New Roman" w:eastAsia="Times New Roman" w:hAnsi="Times New Roman"/>
          <w:b w:val="1"/>
          <w:bCs w:val="1"/>
          <w:sz w:val="144"/>
          <w:szCs w:val="144"/>
        </w:rPr>
      </w:pPr>
      <w:r w:rsidDel="00000000" w:rsidR="00000000" w:rsidRPr="00000000">
        <w:rPr>
          <w:rFonts w:ascii="Times New Roman" w:cs="Times New Roman" w:eastAsia="Times New Roman" w:hAnsi="Times New Roman"/>
          <w:b w:val="1"/>
          <w:bCs w:val="1"/>
          <w:sz w:val="144"/>
          <w:szCs w:val="144"/>
          <w:rtl w:val="0"/>
        </w:rPr>
        <w:t xml:space="preserve">ACADÉMICA</w:t>
      </w:r>
    </w:p>
    <w:p w:rsidR="00000000" w:rsidDel="00000000" w:rsidP="00000000" w:rsidRDefault="00000000" w:rsidRPr="00000000" w14:paraId="00000006">
      <w:pPr>
        <w:widowControl w:val="0"/>
        <w:spacing w:line="258" w:lineRule="auto"/>
        <w:rPr/>
      </w:pPr>
      <w:r w:rsidDel="00000000" w:rsidR="00000000" w:rsidRPr="00000000">
        <w:rPr>
          <w:rFonts w:ascii="Times New Roman" w:cs="Times New Roman" w:eastAsia="Times New Roman" w:hAnsi="Times New Roman"/>
          <w:b w:val="1"/>
          <w:bCs w:val="1"/>
          <w:color w:val="000000"/>
          <w:sz w:val="60"/>
          <w:szCs w:val="60"/>
          <w:rtl w:val="0"/>
        </w:rPr>
        <w:t xml:space="preserve">COMISIÓN ECOSOC</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09">
      <w:pPr>
        <w:spacing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Bienvenidos a la IX edición del Modelo de las Naciones Unidas del colegio Calasanz la Esmeralda Escolapias (</w:t>
      </w:r>
      <w:r w:rsidDel="00000000" w:rsidR="00000000" w:rsidRPr="00000000">
        <w:rPr>
          <w:rFonts w:ascii="Times New Roman" w:cs="Times New Roman" w:eastAsia="Times New Roman" w:hAnsi="Times New Roman"/>
          <w:i w:val="1"/>
          <w:iCs w:val="1"/>
          <w:sz w:val="28"/>
          <w:szCs w:val="28"/>
          <w:rtl w:val="0"/>
        </w:rPr>
        <w:t xml:space="preserve">CCEMUN</w:t>
      </w:r>
      <w:r w:rsidDel="00000000" w:rsidR="00000000" w:rsidRPr="00000000">
        <w:rPr>
          <w:rFonts w:ascii="Times New Roman" w:cs="Times New Roman" w:eastAsia="Times New Roman" w:hAnsi="Times New Roman"/>
          <w:i w:val="1"/>
          <w:iCs w:val="1"/>
          <w:sz w:val="28"/>
          <w:szCs w:val="28"/>
          <w:rtl w:val="0"/>
        </w:rPr>
        <w:t xml:space="preserve">) a su respectivo comité, Asamblea general, y su comisión DISEC. Por parte del staff, secretarias y mesa directiva nos complace y es un honor para nosotros recibirlos como parte de este gran proyecto educativo.</w:t>
      </w:r>
    </w:p>
    <w:p w:rsidR="00000000" w:rsidDel="00000000" w:rsidP="00000000" w:rsidRDefault="00000000" w:rsidRPr="00000000" w14:paraId="0000000A">
      <w:pPr>
        <w:spacing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Como mesa directiva buscamos que este espacio sea un lugar donde se desarrollen tanto personal como académicamente participando activamente y argumentando desde su respectiva posición frente a las diferentes problemáticas que se presentan como tema a debatir; además, también deseamos que disfruten del modelo en el que con tanto esmero hemos estado trabajando para que este les brinde una gran experiencia y les ayude a formar sus distintas habilidades. Esperamos que participen con entusiasmo, responsabilidad, dedicación e iniciativa durante todo el proceso hasta los días de debate, adoptando una postura crítica y argumentativa al debatir, sin olvidar respetar las distintas posturas y escuchar a las demás delegaciones atentamente.</w:t>
      </w:r>
    </w:p>
    <w:p w:rsidR="00000000" w:rsidDel="00000000" w:rsidP="00000000" w:rsidRDefault="00000000" w:rsidRPr="00000000" w14:paraId="0000000B">
      <w:pPr>
        <w:spacing w:line="256" w:lineRule="auto"/>
        <w:ind w:left="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Cualquier duda por favor no dude en comunicarse, la comunicación también es esencial dentro de este proceso para que el modelo y su formación dentro de este pueda realizarse de la mejor manera posible. Les agradecemos su disposición y participación en el modelo, los esperamos pronto.</w:t>
      </w:r>
    </w:p>
    <w:p w:rsidR="00000000" w:rsidDel="00000000" w:rsidP="00000000" w:rsidRDefault="00000000" w:rsidRPr="00000000" w14:paraId="0000000C">
      <w:pPr>
        <w:spacing w:line="256" w:lineRule="auto"/>
        <w:ind w:left="360" w:right="360" w:firstLine="0"/>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“Derribar y destruir es muy fácil. Los héroes son aquellos que construyen y trabajan por la paz” - Nelson Mandela</w:t>
      </w:r>
      <w:r w:rsidDel="00000000" w:rsidR="00000000" w:rsidRPr="00000000">
        <w:rPr>
          <w:rtl w:val="0"/>
        </w:rPr>
      </w:r>
    </w:p>
    <w:tbl>
      <w:tblPr>
        <w:tblStyle w:val="Table1"/>
        <w:tblW w:w="13860.0" w:type="dxa"/>
        <w:jc w:val="left"/>
        <w:tblInd w:w="540.0" w:type="dxa"/>
        <w:tblLayout w:type="fixed"/>
        <w:tblLook w:val="0600"/>
      </w:tblPr>
      <w:tblGrid>
        <w:gridCol w:w="6469"/>
        <w:gridCol w:w="7391"/>
        <w:tblGridChange w:id="0">
          <w:tblGrid>
            <w:gridCol w:w="6469"/>
            <w:gridCol w:w="7391"/>
          </w:tblGrid>
        </w:tblGridChange>
      </w:tblGrid>
      <w:tr>
        <w:trPr>
          <w:cantSplit w:val="0"/>
          <w:trHeight w:val="394" w:hRule="atLeast"/>
          <w:tblHeader w:val="0"/>
        </w:trPr>
        <w:tc>
          <w:tcPr>
            <w:vAlign w:val="bottom"/>
          </w:tcPr>
          <w:p w:rsidR="00000000" w:rsidDel="00000000" w:rsidP="00000000" w:rsidRDefault="00000000" w:rsidRPr="00000000" w14:paraId="0000000D">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vAlign w:val="bottom"/>
          </w:tcPr>
          <w:p w:rsidR="00000000" w:rsidDel="00000000" w:rsidP="00000000" w:rsidRDefault="00000000" w:rsidRPr="00000000" w14:paraId="0000000E">
            <w:pPr>
              <w:jc w:val="both"/>
              <w:rPr>
                <w:rFonts w:ascii="Times New Roman" w:cs="Times New Roman" w:eastAsia="Times New Roman" w:hAnsi="Times New Roman"/>
                <w:i w:val="1"/>
                <w:iCs w:val="1"/>
                <w:sz w:val="24"/>
                <w:szCs w:val="24"/>
              </w:rPr>
            </w:pPr>
            <w:r w:rsidDel="00000000" w:rsidR="00000000" w:rsidRPr="00000000">
              <w:rPr>
                <w:rtl w:val="0"/>
              </w:rPr>
            </w:r>
          </w:p>
        </w:tc>
      </w:tr>
      <w:tr>
        <w:trPr>
          <w:cantSplit w:val="0"/>
          <w:trHeight w:val="620" w:hRule="atLeast"/>
          <w:tblHeader w:val="0"/>
        </w:trPr>
        <w:tc>
          <w:tcPr>
            <w:vAlign w:val="bottom"/>
          </w:tcPr>
          <w:p w:rsidR="00000000" w:rsidDel="00000000" w:rsidP="00000000" w:rsidRDefault="00000000" w:rsidRPr="00000000" w14:paraId="0000000F">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presidenta: Luciana Uribe  Gonzales</w:t>
            </w:r>
          </w:p>
          <w:p w:rsidR="00000000" w:rsidDel="00000000" w:rsidP="00000000" w:rsidRDefault="00000000" w:rsidRPr="00000000" w14:paraId="00000010">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3173684647</w:t>
            </w:r>
          </w:p>
        </w:tc>
        <w:tc>
          <w:tcPr>
            <w:vAlign w:val="bottom"/>
          </w:tcPr>
          <w:p w:rsidR="00000000" w:rsidDel="00000000" w:rsidP="00000000" w:rsidRDefault="00000000" w:rsidRPr="00000000" w14:paraId="00000011">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Nombre de la vicepresidenta: Sara Cano Garcia</w:t>
            </w:r>
          </w:p>
          <w:p w:rsidR="00000000" w:rsidDel="00000000" w:rsidP="00000000" w:rsidRDefault="00000000" w:rsidRPr="00000000" w14:paraId="00000012">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Cel: +57 3103342504</w:t>
            </w:r>
          </w:p>
        </w:tc>
      </w:tr>
      <w:tr>
        <w:trPr>
          <w:cantSplit w:val="0"/>
          <w:trHeight w:val="623" w:hRule="atLeast"/>
          <w:tblHeader w:val="0"/>
        </w:trPr>
        <w:tc>
          <w:tcPr>
            <w:gridSpan w:val="2"/>
            <w:vAlign w:val="bottom"/>
          </w:tcPr>
          <w:p w:rsidR="00000000" w:rsidDel="00000000" w:rsidP="00000000" w:rsidRDefault="00000000" w:rsidRPr="00000000" w14:paraId="00000013">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Correo: </w:t>
            </w:r>
            <w:hyperlink r:id="rId7">
              <w:r w:rsidDel="00000000" w:rsidR="00000000" w:rsidRPr="00000000">
                <w:rPr>
                  <w:rFonts w:ascii="Times New Roman" w:cs="Times New Roman" w:eastAsia="Times New Roman" w:hAnsi="Times New Roman"/>
                  <w:i w:val="1"/>
                  <w:iCs w:val="1"/>
                  <w:color w:val="1155cc"/>
                  <w:sz w:val="28"/>
                  <w:szCs w:val="28"/>
                  <w:u w:val="single"/>
                  <w:rtl w:val="0"/>
                </w:rPr>
                <w:t xml:space="preserve">asambleageneral.ccemun2026@gmail.com</w:t>
              </w:r>
            </w:hyperlink>
            <w:r w:rsidDel="00000000" w:rsidR="00000000" w:rsidRPr="00000000">
              <w:rPr>
                <w:rFonts w:ascii="Times New Roman" w:cs="Times New Roman" w:eastAsia="Times New Roman" w:hAnsi="Times New Roman"/>
                <w:i w:val="1"/>
                <w:iCs w:val="1"/>
                <w:sz w:val="28"/>
                <w:szCs w:val="28"/>
                <w:rtl w:val="0"/>
              </w:rPr>
              <w:t xml:space="preserve"> </w:t>
            </w:r>
          </w:p>
        </w:tc>
      </w:tr>
    </w:tbl>
    <w:p w:rsidR="00000000" w:rsidDel="00000000" w:rsidP="00000000" w:rsidRDefault="00000000" w:rsidRPr="00000000" w14:paraId="00000015">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COMISIÓN ECOSOC</w:t>
      </w:r>
    </w:p>
    <w:p w:rsidR="00000000" w:rsidDel="00000000" w:rsidP="00000000" w:rsidRDefault="00000000" w:rsidRPr="00000000" w14:paraId="00000016">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i w:val="1"/>
          <w:iCs w:val="1"/>
          <w:sz w:val="44"/>
          <w:szCs w:val="44"/>
          <w:rtl w:val="0"/>
        </w:rPr>
        <w:t xml:space="preserve">(Comité Asamblea general)</w:t>
      </w:r>
    </w:p>
    <w:p w:rsidR="00000000" w:rsidDel="00000000" w:rsidP="00000000" w:rsidRDefault="00000000" w:rsidRPr="00000000" w14:paraId="00000017">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Estimados miembros del Comité de Asamblea General, cordial saludo. Es un honor darles la bienvenida a la IX edición del modelo </w:t>
      </w:r>
      <w:r w:rsidDel="00000000" w:rsidR="00000000" w:rsidRPr="00000000">
        <w:rPr>
          <w:rFonts w:ascii="Times New Roman" w:cs="Times New Roman" w:eastAsia="Times New Roman" w:hAnsi="Times New Roman"/>
          <w:i w:val="1"/>
          <w:iCs w:val="1"/>
          <w:sz w:val="28"/>
          <w:szCs w:val="28"/>
          <w:rtl w:val="0"/>
        </w:rPr>
        <w:t xml:space="preserve">CCEMUN</w:t>
      </w:r>
      <w:r w:rsidDel="00000000" w:rsidR="00000000" w:rsidRPr="00000000">
        <w:rPr>
          <w:rFonts w:ascii="Times New Roman" w:cs="Times New Roman" w:eastAsia="Times New Roman" w:hAnsi="Times New Roman"/>
          <w:i w:val="1"/>
          <w:iCs w:val="1"/>
          <w:sz w:val="28"/>
          <w:szCs w:val="28"/>
          <w:rtl w:val="0"/>
        </w:rPr>
        <w:t xml:space="preserve"> y nos sentimos especialmente agradecidos por su participación dentro de este comité, el cual busca desarrollar habilidades como la investigación y la comunicación, ya que es importante que desde ideas y argumentos sólidos resuelvan de manera pacífica y eficiente las problemáticas que se presentan como tema a debatir dentro de la comisión respectiva al comité.</w:t>
      </w:r>
    </w:p>
    <w:p w:rsidR="00000000" w:rsidDel="00000000" w:rsidP="00000000" w:rsidRDefault="00000000" w:rsidRPr="00000000" w14:paraId="00000018">
      <w:pPr>
        <w:spacing w:after="0" w:line="240"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Asamblea General de la ONU (Organización de Naciones Unidas), de la cual es modelo este comité, actúa como órgano principal dentro de esta organización mundial llevando a cabo funciones de deliberación, adopción de políticas y representación. Dentro de esta se tratan temas sociales, el machismo y la represión de mujeres y niñas . Las naciones miembros dialogan por medio de reuniones previamente planificadas en las cuales se analizan cuestiones específicas que conducen a la adopción de resoluciones. Por eso mismo, como delegados/as que forman parte de este comité, se busca que participen activamente  y busquen alternativas favorables para dar una solución conveniente a la temática y enfoques que les corresponde resolver y debatir, mostrando un adecuado manejo del tema. y conocimiento acerca de lo que representa el comité de Asamblea General.</w:t>
      </w:r>
    </w:p>
    <w:p w:rsidR="00000000" w:rsidDel="00000000" w:rsidP="00000000" w:rsidRDefault="00000000" w:rsidRPr="00000000" w14:paraId="0000001A">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TEMA: Impacto del conflicto armado y la explotación del cobalto en el desarrollo sostenible y la situación humanitaria de la República Democrática del Congo.</w:t>
      </w: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impacto del conflicto armado y la explotación  del cobalto en la República Democrática del Congo es un tema importante para entender la situación actual del país. La República Democrática del Congo posee una de las mayores reservas de cobalto del mundo, un mineral fundamental para la fabricación de baterías utilizadas en celulares, computadoras y vehículos eléctricos. Debido a esta gran riqueza, el país se ha convertido en un actor clave dentro del mercado mundial de minerales.</w:t>
      </w:r>
    </w:p>
    <w:p w:rsidR="00000000" w:rsidDel="00000000" w:rsidP="00000000" w:rsidRDefault="00000000" w:rsidRPr="00000000" w14:paraId="00000021">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Sin embargo, la extracción de estos recursos también se ha relacionado con distintos problemas sociales como económicos y humanitarios en algunas regiones del país especialmente en el este, la presencia de grupos armados ha generado conflictos que afectan a la población civil. Esos grupos, en ciertos casos, buscan controlar territorios ricos en minerales o rutas de comercio, lo que ha contribuido a prolongar la inestabilidad en la región.</w:t>
      </w:r>
    </w:p>
    <w:p w:rsidR="00000000" w:rsidDel="00000000" w:rsidP="00000000" w:rsidRDefault="00000000" w:rsidRPr="00000000" w14:paraId="00000022">
      <w:pPr>
        <w:spacing w:after="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Existen diferentes factores que han influido tanto en el desarrollo sostenible del país como en su situación humanitaria. Mientras el cobalto representa una fuente importante de ingresos y oportunidades económicas, los conflictos armados, la desigualdad y los problemas sociales asociados a la minería continúan siendo desafíos relevantes para la estabilidad y el bienestar de la población.</w:t>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1: ¿cómo se relaciona la explotación del cobalto con el desarrollo sostenible y la situación humanitaria del país ?</w:t>
      </w:r>
    </w:p>
    <w:p w:rsidR="00000000" w:rsidDel="00000000" w:rsidP="00000000" w:rsidRDefault="00000000" w:rsidRPr="00000000" w14:paraId="00000024">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2: ¿Se debería priorizar la preservación de los ecosistemas y resolución de conflictos de una nación, o la extracción de minerales necesarios para desarrollar una transición energética a nivel global?</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1er Enfoque:</w:t>
      </w:r>
      <w:r w:rsidDel="00000000" w:rsidR="00000000" w:rsidRPr="00000000">
        <w:rPr>
          <w:rFonts w:ascii="Times New Roman" w:cs="Times New Roman" w:eastAsia="Times New Roman" w:hAnsi="Times New Roman"/>
          <w:i w:val="1"/>
          <w:iCs w:val="1"/>
          <w:color w:val="000000"/>
          <w:sz w:val="44"/>
          <w:szCs w:val="44"/>
          <w:rtl w:val="0"/>
        </w:rPr>
        <w:t xml:space="preserve"> </w:t>
      </w:r>
      <w:r w:rsidDel="00000000" w:rsidR="00000000" w:rsidRPr="00000000">
        <w:rPr>
          <w:rFonts w:ascii="Times New Roman" w:cs="Times New Roman" w:eastAsia="Times New Roman" w:hAnsi="Times New Roman"/>
          <w:b w:val="1"/>
          <w:bCs w:val="1"/>
          <w:i w:val="1"/>
          <w:iCs w:val="1"/>
          <w:color w:val="000000"/>
          <w:sz w:val="44"/>
          <w:szCs w:val="44"/>
          <w:rtl w:val="0"/>
        </w:rPr>
        <w:t xml:space="preserve">¿</w:t>
      </w:r>
      <w:r w:rsidDel="00000000" w:rsidR="00000000" w:rsidRPr="00000000">
        <w:rPr>
          <w:rFonts w:ascii="Times New Roman" w:cs="Times New Roman" w:eastAsia="Times New Roman" w:hAnsi="Times New Roman"/>
          <w:b w:val="1"/>
          <w:bCs w:val="1"/>
          <w:i w:val="1"/>
          <w:iCs w:val="1"/>
          <w:sz w:val="44"/>
          <w:szCs w:val="44"/>
          <w:rtl w:val="0"/>
        </w:rPr>
        <w:t xml:space="preserve">C</w:t>
      </w:r>
      <w:r w:rsidDel="00000000" w:rsidR="00000000" w:rsidRPr="00000000">
        <w:rPr>
          <w:rFonts w:ascii="Times New Roman" w:cs="Times New Roman" w:eastAsia="Times New Roman" w:hAnsi="Times New Roman"/>
          <w:b w:val="1"/>
          <w:bCs w:val="1"/>
          <w:i w:val="1"/>
          <w:iCs w:val="1"/>
          <w:color w:val="000000"/>
          <w:sz w:val="44"/>
          <w:szCs w:val="44"/>
          <w:rtl w:val="0"/>
        </w:rPr>
        <w:t xml:space="preserve">ómo se relaciona la explotación del cobalto con el desarrollo sostenible y la situación humanitaria del país ?</w:t>
      </w: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explotación de cobalto en la República Democrática del Congo está directamente relacionada con el desarrollo sostenible del país desde la importancia económica de este mineral. El Congo se produce más de la mitad del cobalto mundial, un recurso esencial para la fabricación de baterías utilizadas en dispositivos electrónicos y vehículos eléctricos. Esta actividad minera genera ingresos para el estado, empleo para parte de la población y atrae una especie de inversión extranjera. Sin embargo, diversos informes de organizaciones como banco mundial y unicef muestran que una gran parte de la extracción se realiza mediante minería artesanal, donde existen limitaciones en regulación, seguridad laboral y control ambiental. </w:t>
      </w:r>
    </w:p>
    <w:p w:rsidR="00000000" w:rsidDel="00000000" w:rsidP="00000000" w:rsidRDefault="00000000" w:rsidRPr="00000000" w14:paraId="00000027">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De igual forma, la explotación del cobalto se relaciona con la situación humanitaria del país, especialmente en regiones donde la minería convive con textos de conflicto armado. En algunas zonas, la presencia de grupos armados ha influido en el control de territorios con bastantes minerales. Esta situación puede afectar a las comunidades cercanas a las minas, desplazamientos de población, condiciones laborales riesgosas, etc.</w:t>
      </w:r>
    </w:p>
    <w:p w:rsidR="00000000" w:rsidDel="00000000" w:rsidP="00000000" w:rsidRDefault="00000000" w:rsidRPr="00000000" w14:paraId="00000028">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2do Enfoque: ¿Se debería priorizar la preservación de los ecosistemas y resolución de conflictos de una nación, o la extracción de minerales necesarios para desarrollar una transición energética a nivel global?</w:t>
      </w: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debate</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sobre si se debe priorizar la protección de los ecosistemas y la resolución de conflictos internos o la extracción de minerales para la transición energética global ha tomado relevancia en países con grandes reservas como la República Democrática del Congo. Minerales como el cobalto son esenciales para fabricar baterías usadas en tecnologías de energía limpia, como vehículos eléctricos y sistemas de almacenamiento. Debido a esto, la demanda mundial de este recurso ha aumentado en los últimos años. Organismos como la agencia internacional de energía señalan que estos minerales son importantes para el desarrollo de tecnologías que buscan reducir las emisiones de carbono. </w:t>
      </w:r>
    </w:p>
    <w:p w:rsidR="00000000" w:rsidDel="00000000" w:rsidP="00000000" w:rsidRDefault="00000000" w:rsidRPr="00000000" w14:paraId="00000030">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Sin embargo, el aumento de la actividad minera también genera preocupaciones ambientales y sociales. La minería puede afectar ecosistemas a través de la contaminación o la deforestación si no existen controles adecuados. Además, en regiones donde hay conflictos armados la explotación de recursos naturales puede aumentar tensiones entre los ciudadanos. </w:t>
      </w:r>
    </w:p>
    <w:p w:rsidR="00000000" w:rsidDel="00000000" w:rsidP="00000000" w:rsidRDefault="00000000" w:rsidRPr="00000000" w14:paraId="00000031">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r w:rsidDel="00000000" w:rsidR="00000000" w:rsidRPr="00000000">
        <w:rPr>
          <w:rtl w:val="0"/>
        </w:rPr>
      </w:r>
    </w:p>
    <w:p w:rsidR="00000000" w:rsidDel="00000000" w:rsidP="00000000" w:rsidRDefault="00000000" w:rsidRPr="00000000" w14:paraId="00000035">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Agencia Internacional de Energía. (2021).</w:t>
      </w:r>
      <w:r w:rsidDel="00000000" w:rsidR="00000000" w:rsidRPr="00000000">
        <w:rPr>
          <w:rFonts w:ascii="Times New Roman" w:cs="Times New Roman" w:eastAsia="Times New Roman" w:hAnsi="Times New Roman"/>
          <w:i w:val="1"/>
          <w:iCs w:val="1"/>
          <w:sz w:val="28"/>
          <w:szCs w:val="28"/>
          <w:rtl w:val="0"/>
        </w:rPr>
        <w:t xml:space="preserve"> The Role of Critical Minerals in Clean Energy Transitions. IEA.</w:t>
        <w:br w:type="textWrapping"/>
        <w:t xml:space="preserve">Analiza la importancia de minerales como el cobalto en el desarrollo de tecnologías energéticas limpias y el aumento de su demanda en la transición energética global.</w:t>
      </w:r>
    </w:p>
    <w:p w:rsidR="00000000" w:rsidDel="00000000" w:rsidP="00000000" w:rsidRDefault="00000000" w:rsidRPr="00000000" w14:paraId="00000036">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Amnistía Internacional. (2016).</w:t>
      </w:r>
      <w:r w:rsidDel="00000000" w:rsidR="00000000" w:rsidRPr="00000000">
        <w:rPr>
          <w:rFonts w:ascii="Times New Roman" w:cs="Times New Roman" w:eastAsia="Times New Roman" w:hAnsi="Times New Roman"/>
          <w:i w:val="1"/>
          <w:iCs w:val="1"/>
          <w:sz w:val="28"/>
          <w:szCs w:val="28"/>
          <w:rtl w:val="0"/>
        </w:rPr>
        <w:t xml:space="preserve"> This is What We Die For: Human Rights Abuses in the Democratic Republic of the Congo Power the Global Trade in Cobalt. Amnesty International.</w:t>
        <w:br w:type="textWrapping"/>
        <w:t xml:space="preserve">El documento revisa las condiciones laborales en minas de cobalto y como estas se relacionan con la cadena global de suministros de minerales utilizados en tecnología.</w:t>
      </w:r>
    </w:p>
    <w:p w:rsidR="00000000" w:rsidDel="00000000" w:rsidP="00000000" w:rsidRDefault="00000000" w:rsidRPr="00000000" w14:paraId="00000037">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Banco Mundial. (2021).</w:t>
      </w:r>
      <w:r w:rsidDel="00000000" w:rsidR="00000000" w:rsidRPr="00000000">
        <w:rPr>
          <w:rFonts w:ascii="Times New Roman" w:cs="Times New Roman" w:eastAsia="Times New Roman" w:hAnsi="Times New Roman"/>
          <w:i w:val="1"/>
          <w:iCs w:val="1"/>
          <w:sz w:val="28"/>
          <w:szCs w:val="28"/>
          <w:rtl w:val="0"/>
        </w:rPr>
        <w:t xml:space="preserve"> Democratic Republic of Congo: Systematic Country Diagnostic. World Bank.</w:t>
        <w:br w:type="textWrapping"/>
        <w:t xml:space="preserve">Este informe analiza los principales desafíos económicos, sociales y ambientales del país, incluyendo la dependencia de los recursos minerales y sus implicaciones para el desarrollo sostenible.</w:t>
      </w:r>
    </w:p>
    <w:p w:rsidR="00000000" w:rsidDel="00000000" w:rsidP="00000000" w:rsidRDefault="00000000" w:rsidRPr="00000000" w14:paraId="00000038">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Global Witness. (2022).</w:t>
      </w:r>
      <w:r w:rsidDel="00000000" w:rsidR="00000000" w:rsidRPr="00000000">
        <w:rPr>
          <w:rFonts w:ascii="Times New Roman" w:cs="Times New Roman" w:eastAsia="Times New Roman" w:hAnsi="Times New Roman"/>
          <w:i w:val="1"/>
          <w:iCs w:val="1"/>
          <w:sz w:val="28"/>
          <w:szCs w:val="28"/>
          <w:rtl w:val="0"/>
        </w:rPr>
        <w:t xml:space="preserve"> Transition Minerals Tracker: The Hidden Costs of the Energy Transition. Global Witness.</w:t>
        <w:br w:type="textWrapping"/>
        <w:t xml:space="preserve">Este documento revisa los riesgos sociales y ambientales asociados a la extracción de minerales críticos para la transición energética, incluyendo el caso del cobalto en el Congo.</w:t>
      </w:r>
    </w:p>
    <w:p w:rsidR="00000000" w:rsidDel="00000000" w:rsidP="00000000" w:rsidRDefault="00000000" w:rsidRPr="00000000" w14:paraId="00000039">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Human Rights Watch. (2023).</w:t>
      </w:r>
      <w:r w:rsidDel="00000000" w:rsidR="00000000" w:rsidRPr="00000000">
        <w:rPr>
          <w:rFonts w:ascii="Times New Roman" w:cs="Times New Roman" w:eastAsia="Times New Roman" w:hAnsi="Times New Roman"/>
          <w:i w:val="1"/>
          <w:iCs w:val="1"/>
          <w:sz w:val="28"/>
          <w:szCs w:val="28"/>
          <w:rtl w:val="0"/>
        </w:rPr>
        <w:t xml:space="preserve"> DRC: Armed Groups and Civilian Impact in Eastern Congo. Human Rights Watch.</w:t>
        <w:br w:type="textWrapping"/>
        <w:t xml:space="preserve">El informe analiza la situación humanitaria y de seguridad en regiones de este país, donde los conflictos armados afectan a las comunidades locales.</w:t>
      </w:r>
    </w:p>
    <w:p w:rsidR="00000000" w:rsidDel="00000000" w:rsidP="00000000" w:rsidRDefault="00000000" w:rsidRPr="00000000" w14:paraId="0000003A">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Naciones Unidas. (2023).</w:t>
      </w:r>
      <w:r w:rsidDel="00000000" w:rsidR="00000000" w:rsidRPr="00000000">
        <w:rPr>
          <w:rFonts w:ascii="Times New Roman" w:cs="Times New Roman" w:eastAsia="Times New Roman" w:hAnsi="Times New Roman"/>
          <w:i w:val="1"/>
          <w:iCs w:val="1"/>
          <w:sz w:val="28"/>
          <w:szCs w:val="28"/>
          <w:rtl w:val="0"/>
        </w:rPr>
        <w:t xml:space="preserve"> Final Report of the Group of Experts on the Democratic Republic of the Congo. United Nations Security Council.</w:t>
        <w:br w:type="textWrapping"/>
        <w:t xml:space="preserve">Este reporte analiza la relación entre la explotación de recursos naturales, la presencia de grupos armados y la seguridad en este del país.</w:t>
      </w:r>
    </w:p>
    <w:p w:rsidR="00000000" w:rsidDel="00000000" w:rsidP="00000000" w:rsidRDefault="00000000" w:rsidRPr="00000000" w14:paraId="0000003B">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OECD. (2016).</w:t>
      </w:r>
      <w:r w:rsidDel="00000000" w:rsidR="00000000" w:rsidRPr="00000000">
        <w:rPr>
          <w:rFonts w:ascii="Times New Roman" w:cs="Times New Roman" w:eastAsia="Times New Roman" w:hAnsi="Times New Roman"/>
          <w:i w:val="1"/>
          <w:iCs w:val="1"/>
          <w:sz w:val="28"/>
          <w:szCs w:val="28"/>
          <w:rtl w:val="0"/>
        </w:rPr>
        <w:t xml:space="preserve"> OECD Due Diligence Guidance for Responsible Supply Chains of Minerals from Conflict-Affected and High-Risk Areas. OECD Publishing.</w:t>
        <w:br w:type="textWrapping"/>
        <w:t xml:space="preserve">Este documento presenta lineamientos internacionales para empresas y gobiernos con el fin de garantizar cadenas de suministro responsables en minerales nacidos en zonas de conflicto.</w:t>
      </w:r>
    </w:p>
    <w:p w:rsidR="00000000" w:rsidDel="00000000" w:rsidP="00000000" w:rsidRDefault="00000000" w:rsidRPr="00000000" w14:paraId="0000003C">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Programa de las Naciones Unidas para el Medio Ambiente. (2013).</w:t>
      </w:r>
      <w:r w:rsidDel="00000000" w:rsidR="00000000" w:rsidRPr="00000000">
        <w:rPr>
          <w:rFonts w:ascii="Times New Roman" w:cs="Times New Roman" w:eastAsia="Times New Roman" w:hAnsi="Times New Roman"/>
          <w:i w:val="1"/>
          <w:iCs w:val="1"/>
          <w:sz w:val="28"/>
          <w:szCs w:val="28"/>
          <w:rtl w:val="0"/>
        </w:rPr>
        <w:t xml:space="preserve"> Environmental Risks of Mining in the Democratic Republic of the Congo. UNEP.</w:t>
        <w:br w:type="textWrapping"/>
        <w:t xml:space="preserve">El informe revisa los impactos ambientales asociados a la minería, incluyendo la contaminación de agua, suelo y los efectos sobre los ecosistemas locales.</w:t>
      </w:r>
    </w:p>
    <w:p w:rsidR="00000000" w:rsidDel="00000000" w:rsidP="00000000" w:rsidRDefault="00000000" w:rsidRPr="00000000" w14:paraId="0000003D">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UNICEF. (2014).</w:t>
      </w:r>
      <w:r w:rsidDel="00000000" w:rsidR="00000000" w:rsidRPr="00000000">
        <w:rPr>
          <w:rFonts w:ascii="Times New Roman" w:cs="Times New Roman" w:eastAsia="Times New Roman" w:hAnsi="Times New Roman"/>
          <w:i w:val="1"/>
          <w:iCs w:val="1"/>
          <w:sz w:val="28"/>
          <w:szCs w:val="28"/>
          <w:rtl w:val="0"/>
        </w:rPr>
        <w:t xml:space="preserve"> Children Working in Mines and Quarries: Evidence from West and Central Africa. UNICEF.</w:t>
        <w:br w:type="textWrapping"/>
        <w:t xml:space="preserve">Este reporte aborda el trabajo infantil en la minería en diferentes países de África como incluyendo casos relacionados con la minería en la República democrática del Congo.</w:t>
      </w:r>
    </w:p>
    <w:p w:rsidR="00000000" w:rsidDel="00000000" w:rsidP="00000000" w:rsidRDefault="00000000" w:rsidRPr="00000000" w14:paraId="0000003E">
      <w:pPr>
        <w:numPr>
          <w:ilvl w:val="0"/>
          <w:numId w:val="5"/>
        </w:numPr>
        <w:spacing w:after="0" w:before="20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United States Geological Survey. (2024).</w:t>
      </w:r>
      <w:r w:rsidDel="00000000" w:rsidR="00000000" w:rsidRPr="00000000">
        <w:rPr>
          <w:rFonts w:ascii="Times New Roman" w:cs="Times New Roman" w:eastAsia="Times New Roman" w:hAnsi="Times New Roman"/>
          <w:i w:val="1"/>
          <w:iCs w:val="1"/>
          <w:sz w:val="28"/>
          <w:szCs w:val="28"/>
          <w:rtl w:val="0"/>
        </w:rPr>
        <w:t xml:space="preserve"> Mineral Commodity Summary: Cobalt. U.S. Geological Survey.</w:t>
        <w:br w:type="textWrapping"/>
        <w:t xml:space="preserve">Proporciona datos estadísticos actualizados sobre la producción mundial de cobalto y destaca el papel dominante de la República Democrática del Congo en el mercado global.</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i w:val="1"/>
          <w:iCs w:val="1"/>
          <w:sz w:val="52"/>
          <w:szCs w:val="52"/>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GLOSARIO:</w:t>
      </w:r>
      <w:r w:rsidDel="00000000" w:rsidR="00000000" w:rsidRPr="00000000">
        <w:rPr>
          <w:rtl w:val="0"/>
        </w:rPr>
      </w:r>
    </w:p>
    <w:p w:rsidR="00000000" w:rsidDel="00000000" w:rsidP="00000000" w:rsidRDefault="00000000" w:rsidRPr="00000000" w14:paraId="00000044">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Cobalto: </w:t>
      </w:r>
      <w:r w:rsidDel="00000000" w:rsidR="00000000" w:rsidRPr="00000000">
        <w:rPr>
          <w:rFonts w:ascii="Times New Roman" w:cs="Times New Roman" w:eastAsia="Times New Roman" w:hAnsi="Times New Roman"/>
          <w:i w:val="1"/>
          <w:iCs w:val="1"/>
          <w:sz w:val="28"/>
          <w:szCs w:val="28"/>
          <w:rtl w:val="0"/>
        </w:rPr>
        <w:t xml:space="preserve">Mineral metálico utilizado principalmente en la fabricación de baterías recargables presentes en celulares, </w:t>
      </w:r>
      <w:r w:rsidDel="00000000" w:rsidR="00000000" w:rsidRPr="00000000">
        <w:rPr>
          <w:rFonts w:ascii="Times New Roman" w:cs="Times New Roman" w:eastAsia="Times New Roman" w:hAnsi="Times New Roman"/>
          <w:i w:val="1"/>
          <w:iCs w:val="1"/>
          <w:sz w:val="28"/>
          <w:szCs w:val="28"/>
          <w:rtl w:val="0"/>
        </w:rPr>
        <w:t xml:space="preserve">computadores</w:t>
      </w:r>
      <w:r w:rsidDel="00000000" w:rsidR="00000000" w:rsidRPr="00000000">
        <w:rPr>
          <w:rFonts w:ascii="Times New Roman" w:cs="Times New Roman" w:eastAsia="Times New Roman" w:hAnsi="Times New Roman"/>
          <w:i w:val="1"/>
          <w:iCs w:val="1"/>
          <w:sz w:val="28"/>
          <w:szCs w:val="28"/>
          <w:rtl w:val="0"/>
        </w:rPr>
        <w:t xml:space="preserve"> y vehículos eléctricos.</w:t>
      </w:r>
    </w:p>
    <w:p w:rsidR="00000000" w:rsidDel="00000000" w:rsidP="00000000" w:rsidRDefault="00000000" w:rsidRPr="00000000" w14:paraId="00000045">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Conflicto armado:</w:t>
      </w:r>
      <w:r w:rsidDel="00000000" w:rsidR="00000000" w:rsidRPr="00000000">
        <w:rPr>
          <w:rFonts w:ascii="Times New Roman" w:cs="Times New Roman" w:eastAsia="Times New Roman" w:hAnsi="Times New Roman"/>
          <w:i w:val="1"/>
          <w:iCs w:val="1"/>
          <w:sz w:val="28"/>
          <w:szCs w:val="28"/>
          <w:rtl w:val="0"/>
        </w:rPr>
        <w:t xml:space="preserve"> Enfrentamiento violento entre grupos armados o entre estos y el Estado, que genera inestabilidad política, social y humanitaria.</w:t>
      </w:r>
    </w:p>
    <w:p w:rsidR="00000000" w:rsidDel="00000000" w:rsidP="00000000" w:rsidRDefault="00000000" w:rsidRPr="00000000" w14:paraId="00000046">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Crisis humanitaria:</w:t>
      </w:r>
      <w:r w:rsidDel="00000000" w:rsidR="00000000" w:rsidRPr="00000000">
        <w:rPr>
          <w:rFonts w:ascii="Times New Roman" w:cs="Times New Roman" w:eastAsia="Times New Roman" w:hAnsi="Times New Roman"/>
          <w:i w:val="1"/>
          <w:iCs w:val="1"/>
          <w:sz w:val="28"/>
          <w:szCs w:val="28"/>
          <w:rtl w:val="0"/>
        </w:rPr>
        <w:t xml:space="preserve"> Situación en la que una población enfrenta graves dificultades para acceder a necesidades básicas como alimentos, agua, salud y seguridad.</w:t>
      </w:r>
    </w:p>
    <w:p w:rsidR="00000000" w:rsidDel="00000000" w:rsidP="00000000" w:rsidRDefault="00000000" w:rsidRPr="00000000" w14:paraId="00000047">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Desarrollo sostenible: </w:t>
      </w:r>
      <w:r w:rsidDel="00000000" w:rsidR="00000000" w:rsidRPr="00000000">
        <w:rPr>
          <w:rFonts w:ascii="Times New Roman" w:cs="Times New Roman" w:eastAsia="Times New Roman" w:hAnsi="Times New Roman"/>
          <w:i w:val="1"/>
          <w:iCs w:val="1"/>
          <w:sz w:val="28"/>
          <w:szCs w:val="28"/>
          <w:rtl w:val="0"/>
        </w:rPr>
        <w:t xml:space="preserve">Modelo de desarrollo que busca satisfacer las necesidades actuales sin comprometer los recursos y el bienestar de las generaciones futuras.</w:t>
      </w:r>
    </w:p>
    <w:p w:rsidR="00000000" w:rsidDel="00000000" w:rsidP="00000000" w:rsidRDefault="00000000" w:rsidRPr="00000000" w14:paraId="00000048">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Desplazamiento forzado: </w:t>
      </w:r>
      <w:r w:rsidDel="00000000" w:rsidR="00000000" w:rsidRPr="00000000">
        <w:rPr>
          <w:rFonts w:ascii="Times New Roman" w:cs="Times New Roman" w:eastAsia="Times New Roman" w:hAnsi="Times New Roman"/>
          <w:i w:val="1"/>
          <w:iCs w:val="1"/>
          <w:sz w:val="28"/>
          <w:szCs w:val="28"/>
          <w:rtl w:val="0"/>
        </w:rPr>
        <w:t xml:space="preserve">Movimiento de personas que deben abandonar sus hogares debido a conflictos armados, violencia o situaciones de riesgo.</w:t>
      </w:r>
    </w:p>
    <w:p w:rsidR="00000000" w:rsidDel="00000000" w:rsidP="00000000" w:rsidRDefault="00000000" w:rsidRPr="00000000" w14:paraId="00000049">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Ecosistema: </w:t>
      </w:r>
      <w:r w:rsidDel="00000000" w:rsidR="00000000" w:rsidRPr="00000000">
        <w:rPr>
          <w:rFonts w:ascii="Times New Roman" w:cs="Times New Roman" w:eastAsia="Times New Roman" w:hAnsi="Times New Roman"/>
          <w:i w:val="1"/>
          <w:iCs w:val="1"/>
          <w:sz w:val="28"/>
          <w:szCs w:val="28"/>
          <w:rtl w:val="0"/>
        </w:rPr>
        <w:t xml:space="preserve">Conjunto de seres vivos y elementos naturales que interactúan en un mismo entorno, como bosques, ríos o selvas.</w:t>
      </w:r>
    </w:p>
    <w:p w:rsidR="00000000" w:rsidDel="00000000" w:rsidP="00000000" w:rsidRDefault="00000000" w:rsidRPr="00000000" w14:paraId="0000004A">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Explotación minera:</w:t>
      </w:r>
      <w:r w:rsidDel="00000000" w:rsidR="00000000" w:rsidRPr="00000000">
        <w:rPr>
          <w:rFonts w:ascii="Times New Roman" w:cs="Times New Roman" w:eastAsia="Times New Roman" w:hAnsi="Times New Roman"/>
          <w:i w:val="1"/>
          <w:iCs w:val="1"/>
          <w:sz w:val="28"/>
          <w:szCs w:val="28"/>
          <w:rtl w:val="0"/>
        </w:rPr>
        <w:t xml:space="preserve"> Actividad económica dedicada a la extracción de minerales del suelo o subsuelo para su uso industrial o comercial.</w:t>
      </w:r>
    </w:p>
    <w:p w:rsidR="00000000" w:rsidDel="00000000" w:rsidP="00000000" w:rsidRDefault="00000000" w:rsidRPr="00000000" w14:paraId="0000004B">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Grupos armados: </w:t>
      </w:r>
      <w:r w:rsidDel="00000000" w:rsidR="00000000" w:rsidRPr="00000000">
        <w:rPr>
          <w:rFonts w:ascii="Times New Roman" w:cs="Times New Roman" w:eastAsia="Times New Roman" w:hAnsi="Times New Roman"/>
          <w:i w:val="1"/>
          <w:iCs w:val="1"/>
          <w:sz w:val="28"/>
          <w:szCs w:val="28"/>
          <w:rtl w:val="0"/>
        </w:rPr>
        <w:t xml:space="preserve">Organizaciones que utilizan la fuerza militar para controlar territorios, recursos o influir en conflictos dentro de un país.</w:t>
      </w:r>
    </w:p>
    <w:p w:rsidR="00000000" w:rsidDel="00000000" w:rsidP="00000000" w:rsidRDefault="00000000" w:rsidRPr="00000000" w14:paraId="0000004C">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Minería artesanal: </w:t>
      </w:r>
      <w:r w:rsidDel="00000000" w:rsidR="00000000" w:rsidRPr="00000000">
        <w:rPr>
          <w:rFonts w:ascii="Times New Roman" w:cs="Times New Roman" w:eastAsia="Times New Roman" w:hAnsi="Times New Roman"/>
          <w:i w:val="1"/>
          <w:iCs w:val="1"/>
          <w:sz w:val="28"/>
          <w:szCs w:val="28"/>
          <w:rtl w:val="0"/>
        </w:rPr>
        <w:t xml:space="preserve">Tipo de minería realizada a pequeña escala, generalmente con herramientas simples y con menor regulación estatal.</w:t>
      </w:r>
    </w:p>
    <w:p w:rsidR="00000000" w:rsidDel="00000000" w:rsidP="00000000" w:rsidRDefault="00000000" w:rsidRPr="00000000" w14:paraId="0000004D">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Minerales críticos:</w:t>
      </w:r>
      <w:r w:rsidDel="00000000" w:rsidR="00000000" w:rsidRPr="00000000">
        <w:rPr>
          <w:rFonts w:ascii="Times New Roman" w:cs="Times New Roman" w:eastAsia="Times New Roman" w:hAnsi="Times New Roman"/>
          <w:i w:val="1"/>
          <w:iCs w:val="1"/>
          <w:sz w:val="28"/>
          <w:szCs w:val="28"/>
          <w:rtl w:val="0"/>
        </w:rPr>
        <w:t xml:space="preserve"> Recursos minerales considerados esenciales para el desarrollo de tecnologías modernas y estratégicas, como las energías limpias.</w:t>
      </w:r>
    </w:p>
    <w:p w:rsidR="00000000" w:rsidDel="00000000" w:rsidP="00000000" w:rsidRDefault="00000000" w:rsidRPr="00000000" w14:paraId="0000004E">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Recursos naturales:</w:t>
      </w:r>
      <w:r w:rsidDel="00000000" w:rsidR="00000000" w:rsidRPr="00000000">
        <w:rPr>
          <w:rFonts w:ascii="Times New Roman" w:cs="Times New Roman" w:eastAsia="Times New Roman" w:hAnsi="Times New Roman"/>
          <w:i w:val="1"/>
          <w:iCs w:val="1"/>
          <w:sz w:val="28"/>
          <w:szCs w:val="28"/>
          <w:rtl w:val="0"/>
        </w:rPr>
        <w:t xml:space="preserve"> Elementos de la naturaleza que pueden ser utilizados por las personas para satisfacer necesidades económicas o sociales.</w:t>
      </w:r>
    </w:p>
    <w:p w:rsidR="00000000" w:rsidDel="00000000" w:rsidP="00000000" w:rsidRDefault="00000000" w:rsidRPr="00000000" w14:paraId="0000004F">
      <w:pPr>
        <w:numPr>
          <w:ilvl w:val="0"/>
          <w:numId w:val="6"/>
        </w:numPr>
        <w:spacing w:after="0" w:before="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Transición energética: </w:t>
      </w:r>
      <w:r w:rsidDel="00000000" w:rsidR="00000000" w:rsidRPr="00000000">
        <w:rPr>
          <w:rFonts w:ascii="Times New Roman" w:cs="Times New Roman" w:eastAsia="Times New Roman" w:hAnsi="Times New Roman"/>
          <w:i w:val="1"/>
          <w:iCs w:val="1"/>
          <w:sz w:val="28"/>
          <w:szCs w:val="28"/>
          <w:rtl w:val="0"/>
        </w:rPr>
        <w:t xml:space="preserve">Proceso de cambio del uso de combustibles fósiles hacia fuentes de energía más limpias y sostenibles.</w:t>
      </w: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*Posición de cada nación respecto a la explotación del cobalto y sus efectos</w:t>
      </w:r>
    </w:p>
    <w:p w:rsidR="00000000" w:rsidDel="00000000" w:rsidP="00000000" w:rsidRDefault="00000000" w:rsidRPr="00000000" w14:paraId="00000052">
      <w:pPr>
        <w:pStyle w:val="Heading3"/>
        <w:keepNext w:val="0"/>
        <w:keepLines w:val="0"/>
        <w:spacing w:before="0" w:lineRule="auto"/>
        <w:jc w:val="both"/>
        <w:rPr>
          <w:rFonts w:ascii="Times New Roman" w:cs="Times New Roman" w:eastAsia="Times New Roman" w:hAnsi="Times New Roman"/>
          <w:i w:val="1"/>
          <w:iCs w:val="1"/>
          <w:sz w:val="26"/>
          <w:szCs w:val="26"/>
        </w:rPr>
      </w:pPr>
      <w:bookmarkStart w:colFirst="0" w:colLast="0" w:name="_heading=h.8f4vxnw0v1kg" w:id="0"/>
      <w:bookmarkEnd w:id="0"/>
      <w:r w:rsidDel="00000000" w:rsidR="00000000" w:rsidRPr="00000000">
        <w:rPr>
          <w:rFonts w:ascii="Times New Roman" w:cs="Times New Roman" w:eastAsia="Times New Roman" w:hAnsi="Times New Roman"/>
          <w:i w:val="1"/>
          <w:iCs w:val="1"/>
          <w:sz w:val="26"/>
          <w:szCs w:val="26"/>
          <w:rtl w:val="0"/>
        </w:rPr>
        <w:t xml:space="preserve">Delegaciones A Favor</w:t>
      </w:r>
    </w:p>
    <w:p w:rsidR="00000000" w:rsidDel="00000000" w:rsidP="00000000" w:rsidRDefault="00000000" w:rsidRPr="00000000" w14:paraId="00000053">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China</w:t>
      </w:r>
    </w:p>
    <w:p w:rsidR="00000000" w:rsidDel="00000000" w:rsidP="00000000" w:rsidRDefault="00000000" w:rsidRPr="00000000" w14:paraId="00000054">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Emiratos Árabes Unidos</w:t>
      </w:r>
    </w:p>
    <w:p w:rsidR="00000000" w:rsidDel="00000000" w:rsidP="00000000" w:rsidRDefault="00000000" w:rsidRPr="00000000" w14:paraId="00000055">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India</w:t>
      </w:r>
    </w:p>
    <w:p w:rsidR="00000000" w:rsidDel="00000000" w:rsidP="00000000" w:rsidRDefault="00000000" w:rsidRPr="00000000" w14:paraId="00000056">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Japón</w:t>
      </w:r>
    </w:p>
    <w:p w:rsidR="00000000" w:rsidDel="00000000" w:rsidP="00000000" w:rsidRDefault="00000000" w:rsidRPr="00000000" w14:paraId="00000057">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República de Corea (Corea del Sur)</w:t>
      </w:r>
    </w:p>
    <w:p w:rsidR="00000000" w:rsidDel="00000000" w:rsidP="00000000" w:rsidRDefault="00000000" w:rsidRPr="00000000" w14:paraId="00000058">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Singapur</w:t>
      </w:r>
    </w:p>
    <w:p w:rsidR="00000000" w:rsidDel="00000000" w:rsidP="00000000" w:rsidRDefault="00000000" w:rsidRPr="00000000" w14:paraId="00000059">
      <w:pPr>
        <w:numPr>
          <w:ilvl w:val="0"/>
          <w:numId w:val="3"/>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Turquía</w:t>
      </w:r>
    </w:p>
    <w:p w:rsidR="00000000" w:rsidDel="00000000" w:rsidP="00000000" w:rsidRDefault="00000000" w:rsidRPr="00000000" w14:paraId="0000005A">
      <w:pPr>
        <w:pStyle w:val="Heading3"/>
        <w:keepNext w:val="0"/>
        <w:keepLines w:val="0"/>
        <w:jc w:val="both"/>
        <w:rPr>
          <w:rFonts w:ascii="Times New Roman" w:cs="Times New Roman" w:eastAsia="Times New Roman" w:hAnsi="Times New Roman"/>
          <w:i w:val="1"/>
          <w:iCs w:val="1"/>
        </w:rPr>
      </w:pPr>
      <w:bookmarkStart w:colFirst="0" w:colLast="0" w:name="_heading=h.c254hu5ta1cq" w:id="1"/>
      <w:bookmarkEnd w:id="1"/>
      <w:r w:rsidDel="00000000" w:rsidR="00000000" w:rsidRPr="00000000">
        <w:rPr>
          <w:rFonts w:ascii="Times New Roman" w:cs="Times New Roman" w:eastAsia="Times New Roman" w:hAnsi="Times New Roman"/>
          <w:i w:val="1"/>
          <w:iCs w:val="1"/>
          <w:rtl w:val="0"/>
        </w:rPr>
        <w:t xml:space="preserve">Delegaciones En Contra</w:t>
      </w:r>
    </w:p>
    <w:p w:rsidR="00000000" w:rsidDel="00000000" w:rsidP="00000000" w:rsidRDefault="00000000" w:rsidRPr="00000000" w14:paraId="0000005B">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Canadá</w:t>
      </w:r>
    </w:p>
    <w:p w:rsidR="00000000" w:rsidDel="00000000" w:rsidP="00000000" w:rsidRDefault="00000000" w:rsidRPr="00000000" w14:paraId="0000005C">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España</w:t>
      </w:r>
    </w:p>
    <w:p w:rsidR="00000000" w:rsidDel="00000000" w:rsidP="00000000" w:rsidRDefault="00000000" w:rsidRPr="00000000" w14:paraId="0000005D">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Estados Unidos</w:t>
      </w:r>
    </w:p>
    <w:p w:rsidR="00000000" w:rsidDel="00000000" w:rsidP="00000000" w:rsidRDefault="00000000" w:rsidRPr="00000000" w14:paraId="0000005E">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Francia</w:t>
      </w:r>
    </w:p>
    <w:p w:rsidR="00000000" w:rsidDel="00000000" w:rsidP="00000000" w:rsidRDefault="00000000" w:rsidRPr="00000000" w14:paraId="0000005F">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Reino Unido</w:t>
      </w:r>
    </w:p>
    <w:p w:rsidR="00000000" w:rsidDel="00000000" w:rsidP="00000000" w:rsidRDefault="00000000" w:rsidRPr="00000000" w14:paraId="00000060">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República Democrática del Congo</w:t>
      </w:r>
    </w:p>
    <w:p w:rsidR="00000000" w:rsidDel="00000000" w:rsidP="00000000" w:rsidRDefault="00000000" w:rsidRPr="00000000" w14:paraId="00000061">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Sudáfrica</w:t>
      </w:r>
    </w:p>
    <w:p w:rsidR="00000000" w:rsidDel="00000000" w:rsidP="00000000" w:rsidRDefault="00000000" w:rsidRPr="00000000" w14:paraId="00000062">
      <w:pPr>
        <w:numPr>
          <w:ilvl w:val="0"/>
          <w:numId w:val="7"/>
        </w:numPr>
        <w:spacing w:after="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Zambia</w:t>
      </w:r>
    </w:p>
    <w:p w:rsidR="00000000" w:rsidDel="00000000" w:rsidP="00000000" w:rsidRDefault="00000000" w:rsidRPr="00000000" w14:paraId="00000063">
      <w:pP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4">
      <w:pP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5">
      <w:pP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6">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INDICACIONES ADICIONALES:</w:t>
      </w:r>
      <w:r w:rsidDel="00000000" w:rsidR="00000000" w:rsidRPr="00000000">
        <w:rPr>
          <w:rtl w:val="0"/>
        </w:rPr>
      </w:r>
    </w:p>
    <w:p w:rsidR="00000000" w:rsidDel="00000000" w:rsidP="00000000" w:rsidRDefault="00000000" w:rsidRPr="00000000" w14:paraId="00000067">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Dirigirse a las </w:t>
      </w:r>
      <w:r w:rsidDel="00000000" w:rsidR="00000000" w:rsidRPr="00000000">
        <w:rPr>
          <w:rFonts w:ascii="Times New Roman" w:cs="Times New Roman" w:eastAsia="Times New Roman" w:hAnsi="Times New Roman"/>
          <w:i w:val="1"/>
          <w:iCs w:val="1"/>
          <w:sz w:val="28"/>
          <w:szCs w:val="28"/>
          <w:rtl w:val="0"/>
        </w:rPr>
        <w:t xml:space="preserve">secretarias</w:t>
      </w:r>
      <w:r w:rsidDel="00000000" w:rsidR="00000000" w:rsidRPr="00000000">
        <w:rPr>
          <w:rFonts w:ascii="Times New Roman" w:cs="Times New Roman" w:eastAsia="Times New Roman" w:hAnsi="Times New Roman"/>
          <w:i w:val="1"/>
          <w:iCs w:val="1"/>
          <w:sz w:val="28"/>
          <w:szCs w:val="28"/>
          <w:rtl w:val="0"/>
        </w:rPr>
        <w:t xml:space="preserve">, mesa y en especial a los demás delegados/as participantes de manera respetuosa y cordial.</w:t>
      </w:r>
    </w:p>
    <w:p w:rsidR="00000000" w:rsidDel="00000000" w:rsidP="00000000" w:rsidRDefault="00000000" w:rsidRPr="00000000" w14:paraId="00000068">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Adoptar la postura de la </w:t>
      </w:r>
      <w:r w:rsidDel="00000000" w:rsidR="00000000" w:rsidRPr="00000000">
        <w:rPr>
          <w:rFonts w:ascii="Times New Roman" w:cs="Times New Roman" w:eastAsia="Times New Roman" w:hAnsi="Times New Roman"/>
          <w:i w:val="1"/>
          <w:iCs w:val="1"/>
          <w:sz w:val="28"/>
          <w:szCs w:val="28"/>
          <w:rtl w:val="0"/>
        </w:rPr>
        <w:t xml:space="preserve">delegación la cual</w:t>
      </w:r>
      <w:r w:rsidDel="00000000" w:rsidR="00000000" w:rsidRPr="00000000">
        <w:rPr>
          <w:rFonts w:ascii="Times New Roman" w:cs="Times New Roman" w:eastAsia="Times New Roman" w:hAnsi="Times New Roman"/>
          <w:i w:val="1"/>
          <w:iCs w:val="1"/>
          <w:sz w:val="28"/>
          <w:szCs w:val="28"/>
          <w:rtl w:val="0"/>
        </w:rPr>
        <w:t xml:space="preserve"> le fue asignada y manejar adecuadamente el tema.</w:t>
      </w:r>
    </w:p>
    <w:p w:rsidR="00000000" w:rsidDel="00000000" w:rsidP="00000000" w:rsidRDefault="00000000" w:rsidRPr="00000000" w14:paraId="00000069">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Argumentar y exponer ideas sólidas que se fundamenten en información confiable.</w:t>
      </w:r>
    </w:p>
    <w:p w:rsidR="00000000" w:rsidDel="00000000" w:rsidP="00000000" w:rsidRDefault="00000000" w:rsidRPr="00000000" w14:paraId="0000006A">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Escuchar atentamente y respetar las distintas opiniones de las demás delegaciones.</w:t>
      </w:r>
    </w:p>
    <w:p w:rsidR="00000000" w:rsidDel="00000000" w:rsidP="00000000" w:rsidRDefault="00000000" w:rsidRPr="00000000" w14:paraId="0000006B">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Comunicarse activamente con la mesa directiva para resolución de dudas, además de asistir a las reuniones programadas previas a los días de debate.</w:t>
      </w:r>
    </w:p>
    <w:p w:rsidR="00000000" w:rsidDel="00000000" w:rsidP="00000000" w:rsidRDefault="00000000" w:rsidRPr="00000000" w14:paraId="0000006C">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Manejar un lenguaje diplomático al exponer sus argumentos e ideas.</w:t>
      </w:r>
    </w:p>
    <w:p w:rsidR="00000000" w:rsidDel="00000000" w:rsidP="00000000" w:rsidRDefault="00000000" w:rsidRPr="00000000" w14:paraId="0000006D">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Llevar dentro del portafolio la información que considere necesaria para el desarrollo del debate y la formulación de sus argumentos. </w:t>
      </w:r>
    </w:p>
    <w:p w:rsidR="00000000" w:rsidDel="00000000" w:rsidP="00000000" w:rsidRDefault="00000000" w:rsidRPr="00000000" w14:paraId="0000006E">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Conocer, aplicar y hacer uso correcto de mociones y puntos durante el debate.</w:t>
      </w:r>
    </w:p>
    <w:p w:rsidR="00000000" w:rsidDel="00000000" w:rsidP="00000000" w:rsidRDefault="00000000" w:rsidRPr="00000000" w14:paraId="0000006F">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Respetar los reglamentos que establece el modelo </w:t>
      </w:r>
      <w:r w:rsidDel="00000000" w:rsidR="00000000" w:rsidRPr="00000000">
        <w:rPr>
          <w:rFonts w:ascii="Times New Roman" w:cs="Times New Roman" w:eastAsia="Times New Roman" w:hAnsi="Times New Roman"/>
          <w:i w:val="1"/>
          <w:iCs w:val="1"/>
          <w:sz w:val="28"/>
          <w:szCs w:val="28"/>
          <w:rtl w:val="0"/>
        </w:rPr>
        <w:t xml:space="preserve">descritos</w:t>
      </w:r>
      <w:r w:rsidDel="00000000" w:rsidR="00000000" w:rsidRPr="00000000">
        <w:rPr>
          <w:rFonts w:ascii="Times New Roman" w:cs="Times New Roman" w:eastAsia="Times New Roman" w:hAnsi="Times New Roman"/>
          <w:i w:val="1"/>
          <w:iCs w:val="1"/>
          <w:sz w:val="28"/>
          <w:szCs w:val="28"/>
          <w:rtl w:val="0"/>
        </w:rPr>
        <w:t xml:space="preserve"> en el Handbook.</w:t>
      </w:r>
    </w:p>
    <w:p w:rsidR="00000000" w:rsidDel="00000000" w:rsidP="00000000" w:rsidRDefault="00000000" w:rsidRPr="00000000" w14:paraId="00000070">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Leer los documentos enviados los cuales contienen información relevante (Handbook, Guía Académica)</w:t>
      </w:r>
    </w:p>
    <w:p w:rsidR="00000000" w:rsidDel="00000000" w:rsidP="00000000" w:rsidRDefault="00000000" w:rsidRPr="00000000" w14:paraId="00000071">
      <w:pPr>
        <w:numPr>
          <w:ilvl w:val="0"/>
          <w:numId w:val="2"/>
        </w:numPr>
        <w:spacing w:after="20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 se permite el uso de fuentes como Chat GPT, Wikipedia, Brainly… para la búsqueda de información. </w:t>
      </w:r>
    </w:p>
    <w:p w:rsidR="00000000" w:rsidDel="00000000" w:rsidP="00000000" w:rsidRDefault="00000000" w:rsidRPr="00000000" w14:paraId="00000072">
      <w:pPr>
        <w:numPr>
          <w:ilvl w:val="0"/>
          <w:numId w:val="2"/>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Disfrutar y aprender su proceso dentro del modelo, muestre compromiso y dedicación tanto antes como durante el debate.</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76">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77">
      <w:pPr>
        <w:numPr>
          <w:ilvl w:val="0"/>
          <w:numId w:val="1"/>
        </w:numPr>
        <w:spacing w:after="0" w:afterAutospacing="0"/>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¿De qué manera la explotación del cobalto influye en la economía y el desarrollo de la República Democrática del Congo?</w:t>
        <w:br w:type="textWrapping"/>
      </w:r>
    </w:p>
    <w:p w:rsidR="00000000" w:rsidDel="00000000" w:rsidP="00000000" w:rsidRDefault="00000000" w:rsidRPr="00000000" w14:paraId="00000078">
      <w:pPr>
        <w:numPr>
          <w:ilvl w:val="0"/>
          <w:numId w:val="1"/>
        </w:numPr>
        <w:spacing w:after="0" w:afterAutospacing="0"/>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¿Cómo se relaciona la explotación de recursos minerales con la situación humanitaria en algunas regiones del país?</w:t>
        <w:br w:type="textWrapping"/>
      </w:r>
    </w:p>
    <w:p w:rsidR="00000000" w:rsidDel="00000000" w:rsidP="00000000" w:rsidRDefault="00000000" w:rsidRPr="00000000" w14:paraId="00000079">
      <w:pPr>
        <w:numPr>
          <w:ilvl w:val="0"/>
          <w:numId w:val="1"/>
        </w:numPr>
        <w:spacing w:after="0" w:afterAutospacing="0"/>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desafíos sociales y ambientales puede generar la minería de cobalto en las comunidades cercanas a las zonas de extracción?</w:t>
        <w:br w:type="textWrapping"/>
      </w:r>
    </w:p>
    <w:p w:rsidR="00000000" w:rsidDel="00000000" w:rsidP="00000000" w:rsidRDefault="00000000" w:rsidRPr="00000000" w14:paraId="0000007A">
      <w:pPr>
        <w:numPr>
          <w:ilvl w:val="0"/>
          <w:numId w:val="1"/>
        </w:numPr>
        <w:spacing w:after="0" w:afterAutospacing="0"/>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papel tiene la comunidad internacional en la regulación o supervisión de la cadena de suministro de minerales provenientes de zonas de conflicto?</w:t>
        <w:br w:type="textWrapping"/>
      </w:r>
    </w:p>
    <w:p w:rsidR="00000000" w:rsidDel="00000000" w:rsidP="00000000" w:rsidRDefault="00000000" w:rsidRPr="00000000" w14:paraId="0000007B">
      <w:pPr>
        <w:numPr>
          <w:ilvl w:val="0"/>
          <w:numId w:val="1"/>
        </w:numPr>
        <w:spacing w:after="0" w:afterAutospacing="0"/>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¿Cómo puede equilibrarse la necesidad global de minerales para la transición energética con la protección de los ecosistemas y las comunidades locales?</w:t>
        <w:br w:type="textWrapping"/>
      </w:r>
    </w:p>
    <w:p w:rsidR="00000000" w:rsidDel="00000000" w:rsidP="00000000" w:rsidRDefault="00000000" w:rsidRPr="00000000" w14:paraId="0000007C">
      <w:pPr>
        <w:numPr>
          <w:ilvl w:val="0"/>
          <w:numId w:val="1"/>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medidas podrían implementarse para garantizar que la explotación de minerales contribuya al desarrollo sostenible?</w:t>
      </w:r>
    </w:p>
    <w:p w:rsidR="00000000" w:rsidDel="00000000" w:rsidP="00000000" w:rsidRDefault="00000000" w:rsidRPr="00000000" w14:paraId="0000007D">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p>
    <w:p w:rsidR="00000000" w:rsidDel="00000000" w:rsidP="00000000" w:rsidRDefault="00000000" w:rsidRPr="00000000" w14:paraId="00000081">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Agencia Internacional de Energía. (2021). The role of critical minerals in clean energy transitions. IEA. </w:t>
      </w:r>
      <w:hyperlink r:id="rId8">
        <w:r w:rsidDel="00000000" w:rsidR="00000000" w:rsidRPr="00000000">
          <w:rPr>
            <w:rFonts w:ascii="Times New Roman" w:cs="Times New Roman" w:eastAsia="Times New Roman" w:hAnsi="Times New Roman"/>
            <w:i w:val="1"/>
            <w:iCs w:val="1"/>
            <w:color w:val="1155cc"/>
            <w:sz w:val="28"/>
            <w:szCs w:val="28"/>
            <w:u w:val="single"/>
            <w:rtl w:val="0"/>
          </w:rPr>
          <w:t xml:space="preserve">https://www.iea.org</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2">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Amnistía Internacional. (2016). This is what we die for: Human rights abuses in the Democratic Republic of the Congo power the global trade in cobalt. Amnistía Internacional. </w:t>
      </w:r>
      <w:hyperlink r:id="rId9">
        <w:r w:rsidDel="00000000" w:rsidR="00000000" w:rsidRPr="00000000">
          <w:rPr>
            <w:rFonts w:ascii="Times New Roman" w:cs="Times New Roman" w:eastAsia="Times New Roman" w:hAnsi="Times New Roman"/>
            <w:i w:val="1"/>
            <w:iCs w:val="1"/>
            <w:color w:val="1155cc"/>
            <w:sz w:val="28"/>
            <w:szCs w:val="28"/>
            <w:u w:val="single"/>
            <w:rtl w:val="0"/>
          </w:rPr>
          <w:t xml:space="preserve">https://www.amnesty.org</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3">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Banco Mundial. (2021). Democratic Republic of Congo: Systematic country diagnostic. Banco Mundial. </w:t>
      </w:r>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https://www.worldbank.org</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4">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Human Rights Watch. (2023). Democratic Republic of Congo: Armed groups and civilian impact in eastern Congo. Human Rights Watch. </w:t>
      </w:r>
      <w:hyperlink r:id="rId11">
        <w:r w:rsidDel="00000000" w:rsidR="00000000" w:rsidRPr="00000000">
          <w:rPr>
            <w:rFonts w:ascii="Times New Roman" w:cs="Times New Roman" w:eastAsia="Times New Roman" w:hAnsi="Times New Roman"/>
            <w:i w:val="1"/>
            <w:iCs w:val="1"/>
            <w:color w:val="1155cc"/>
            <w:sz w:val="28"/>
            <w:szCs w:val="28"/>
            <w:u w:val="single"/>
            <w:rtl w:val="0"/>
          </w:rPr>
          <w:t xml:space="preserve">https://www.hrw.org</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5">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Naciones Unidas. (2023). Final report of the Group of Experts on the Democratic Republic of the Congo. United Nations. </w:t>
      </w:r>
      <w:hyperlink r:id="rId12">
        <w:r w:rsidDel="00000000" w:rsidR="00000000" w:rsidRPr="00000000">
          <w:rPr>
            <w:rFonts w:ascii="Times New Roman" w:cs="Times New Roman" w:eastAsia="Times New Roman" w:hAnsi="Times New Roman"/>
            <w:i w:val="1"/>
            <w:iCs w:val="1"/>
            <w:color w:val="1155cc"/>
            <w:sz w:val="28"/>
            <w:szCs w:val="28"/>
            <w:u w:val="single"/>
            <w:rtl w:val="0"/>
          </w:rPr>
          <w:t xml:space="preserve">https://www.un.org</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6">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UNICEF. (2014). Children working in mines and quarries: Evidence from West and Central Africa. UNICEF. </w:t>
      </w:r>
      <w:hyperlink r:id="rId13">
        <w:r w:rsidDel="00000000" w:rsidR="00000000" w:rsidRPr="00000000">
          <w:rPr>
            <w:rFonts w:ascii="Times New Roman" w:cs="Times New Roman" w:eastAsia="Times New Roman" w:hAnsi="Times New Roman"/>
            <w:i w:val="1"/>
            <w:iCs w:val="1"/>
            <w:color w:val="1155cc"/>
            <w:sz w:val="28"/>
            <w:szCs w:val="28"/>
            <w:u w:val="single"/>
            <w:rtl w:val="0"/>
          </w:rPr>
          <w:t xml:space="preserve">https://www.unicef.org</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7">
      <w:pPr>
        <w:numPr>
          <w:ilvl w:val="0"/>
          <w:numId w:val="8"/>
        </w:numPr>
        <w:spacing w:after="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United States Geological Survey. (2024). Mineral commodity summaries: Cobalt. U.S. Geological Survey. </w:t>
      </w:r>
      <w:hyperlink r:id="rId14">
        <w:r w:rsidDel="00000000" w:rsidR="00000000" w:rsidRPr="00000000">
          <w:rPr>
            <w:rFonts w:ascii="Times New Roman" w:cs="Times New Roman" w:eastAsia="Times New Roman" w:hAnsi="Times New Roman"/>
            <w:i w:val="1"/>
            <w:iCs w:val="1"/>
            <w:color w:val="1155cc"/>
            <w:sz w:val="28"/>
            <w:szCs w:val="28"/>
            <w:u w:val="single"/>
            <w:rtl w:val="0"/>
          </w:rPr>
          <w:t xml:space="preserve">https://www.usgs.gov</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tl w:val="0"/>
        </w:rPr>
      </w:r>
    </w:p>
    <w:sectPr>
      <w:headerReference r:id="rId15" w:type="default"/>
      <w:headerReference r:id="rId16" w:type="first"/>
      <w:headerReference r:id="rId17" w:type="even"/>
      <w:footerReference r:id="rId18" w:type="default"/>
      <w:pgSz w:h="12240" w:w="15840" w:orient="landscape"/>
      <w:pgMar w:bottom="1133.8582677165355" w:top="1133.8582677165355" w:left="1133.8582677165355" w:right="1133.8582677165355"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2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-449577</wp:posOffset>
          </wp:positionV>
          <wp:extent cx="6681788" cy="7405350"/>
          <wp:effectExtent b="0" l="0" r="0" t="0"/>
          <wp:wrapNone/>
          <wp:docPr id="26" name="image1.png"/>
          <a:graphic>
            <a:graphicData uri="http://schemas.openxmlformats.org/drawingml/2006/picture">
              <pic:pic>
                <pic:nvPicPr>
                  <pic:cNvPr id="0" name="image1.png"/>
                  <pic:cNvPicPr preferRelativeResize="0"/>
                </pic:nvPicPr>
                <pic:blipFill>
                  <a:blip r:embed="rId1">
                    <a:alphaModFix amt="15000"/>
                  </a:blip>
                  <a:srcRect b="21146" l="0" r="0" t="8791"/>
                  <a:stretch>
                    <a:fillRect/>
                  </a:stretch>
                </pic:blipFill>
                <pic:spPr>
                  <a:xfrm>
                    <a:off x="0" y="0"/>
                    <a:ext cx="6681788" cy="740535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2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1"/>
    <w:tblPr>
      <w:tblCellMar>
        <w:top w:w="0.0" w:type="dxa"/>
        <w:left w:w="0.0" w:type="dxa"/>
        <w:bottom w:w="0.0" w:type="dxa"/>
        <w:right w:w="0.0" w:type="dxa"/>
      </w:tblCellMar>
    </w:tblPr>
  </w:style>
  <w:style w:type="table" w:styleId="a" w:customStyle="1">
    <w:basedOn w:val="TableNormal1"/>
    <w:tblPr>
      <w:tblStyleRowBandSize w:val="1"/>
      <w:tblStyleColBandSize w:val="1"/>
    </w:tblPr>
  </w:style>
  <w:style w:type="character" w:styleId="Hipervnculo">
    <w:name w:val="Hyperlink"/>
    <w:basedOn w:val="Fuentedeprrafopredeter"/>
    <w:uiPriority w:val="99"/>
    <w:unhideWhenUsed w:val="1"/>
    <w:rsid w:val="008D7C15"/>
    <w:rPr>
      <w:color w:val="0000ff" w:themeColor="hyperlink"/>
      <w:u w:val="single"/>
    </w:rPr>
  </w:style>
  <w:style w:type="character" w:styleId="Mencinsinresolver">
    <w:name w:val="Unresolved Mention"/>
    <w:basedOn w:val="Fuentedeprrafopredeter"/>
    <w:uiPriority w:val="99"/>
    <w:semiHidden w:val="1"/>
    <w:unhideWhenUsed w:val="1"/>
    <w:rsid w:val="008D7C15"/>
    <w:rPr>
      <w:color w:val="605e5c"/>
      <w:shd w:color="auto" w:fill="e1dfdd" w:val="clear"/>
    </w:rPr>
  </w:style>
  <w:style w:type="character" w:styleId="Hipervnculovisitado">
    <w:name w:val="FollowedHyperlink"/>
    <w:basedOn w:val="Fuentedeprrafopredeter"/>
    <w:uiPriority w:val="99"/>
    <w:semiHidden w:val="1"/>
    <w:unhideWhenUsed w:val="1"/>
    <w:rsid w:val="008D7C15"/>
    <w:rPr>
      <w:color w:val="800080" w:themeColor="followedHyperlink"/>
      <w:u w:val="single"/>
    </w:rPr>
  </w:style>
  <w:style w:type="paragraph" w:styleId="Prrafodelista">
    <w:name w:val="List Paragraph"/>
    <w:basedOn w:val="Normal"/>
    <w:uiPriority w:val="34"/>
    <w:qFormat w:val="1"/>
    <w:rsid w:val="00F63BBB"/>
    <w:pPr>
      <w:ind w:left="720"/>
      <w:contextualSpacing w:val="1"/>
    </w:pPr>
  </w:style>
  <w:style w:type="paragraph" w:styleId="NormalWeb">
    <w:name w:val="Normal (Web)"/>
    <w:basedOn w:val="Normal"/>
    <w:uiPriority w:val="99"/>
    <w:unhideWhenUsed w:val="1"/>
    <w:rsid w:val="00DE314B"/>
    <w:pPr>
      <w:spacing w:after="100" w:afterAutospacing="1" w:before="100" w:beforeAutospacing="1" w:line="240" w:lineRule="auto"/>
    </w:pPr>
    <w:rPr>
      <w:rFonts w:ascii="Times New Roman" w:cs="Times New Roman" w:eastAsia="Times New Roman" w:hAnsi="Times New Roman"/>
      <w:sz w:val="24"/>
      <w:szCs w:val="24"/>
      <w:lang w:val="es-CO"/>
    </w:rPr>
  </w:style>
  <w:style w:type="paragraph" w:styleId="Piedepgina">
    <w:name w:val="footer"/>
    <w:basedOn w:val="Normal"/>
    <w:link w:val="PiedepginaCar"/>
    <w:uiPriority w:val="99"/>
    <w:unhideWhenUsed w:val="1"/>
    <w:rsid w:val="006B4B88"/>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6B4B88"/>
  </w:style>
  <w:style w:type="table" w:styleId="a0" w:customStyle="1">
    <w:basedOn w:val="Tablanormal"/>
    <w:tblPr>
      <w:tblStyleRowBandSize w:val="1"/>
      <w:tblStyleColBandSize w:val="1"/>
      <w:tblCellMar>
        <w:left w:w="0.0" w:type="dxa"/>
        <w:right w:w="0.0" w:type="dxa"/>
      </w:tblCellMar>
    </w:tblPr>
  </w:style>
  <w:style w:type="table" w:styleId="a1" w:customStyle="1">
    <w:basedOn w:val="Tablanormal"/>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hrw.org" TargetMode="External"/><Relationship Id="rId10" Type="http://schemas.openxmlformats.org/officeDocument/2006/relationships/hyperlink" Target="https://www.worldbank.org" TargetMode="External"/><Relationship Id="rId13" Type="http://schemas.openxmlformats.org/officeDocument/2006/relationships/hyperlink" Target="https://www.unicef.org" TargetMode="External"/><Relationship Id="rId12" Type="http://schemas.openxmlformats.org/officeDocument/2006/relationships/hyperlink" Target="https://www.u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mnesty.org" TargetMode="External"/><Relationship Id="rId15" Type="http://schemas.openxmlformats.org/officeDocument/2006/relationships/header" Target="header2.xml"/><Relationship Id="rId14" Type="http://schemas.openxmlformats.org/officeDocument/2006/relationships/hyperlink" Target="https://www.usgs.gov" TargetMode="External"/><Relationship Id="rId17" Type="http://schemas.openxmlformats.org/officeDocument/2006/relationships/header" Target="header1.xml"/><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mailto:asambleageneral.ccemun2026@gmail.com" TargetMode="External"/><Relationship Id="rId8" Type="http://schemas.openxmlformats.org/officeDocument/2006/relationships/hyperlink" Target="https://www.ie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fQTEoTHMJmYBpmmGjCd29b61Q==">CgMxLjAyDmguOGY0dnhudzB2MWtnMg5oLmMyNTRodTV0YTFjcTgAciExYzVOR2VOdS1ZY3FZWE05dVVudGVOQkhPX240Rlc0MG0=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2026-02-17T04:02:00Z</dcterms:created>
  <dc:creator>Asus</dc:creator>
</cp:coreProperties>
</file>