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xml" PartName="/customXML/item2.xml"/>
  <Override ContentType="application/vnd.openxmlformats-officedocument.customXmlProperties+xml" PartName="/customXML/itemProps2.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sz w:val="24"/>
          <w:szCs w:val="24"/>
        </w:rPr>
      </w:pPr>
      <w:r w:rsidDel="00000000" w:rsidR="00000000" w:rsidRPr="00000000">
        <w:rPr>
          <w:rFonts w:ascii="Arial" w:cs="Arial" w:eastAsia="Arial" w:hAnsi="Arial"/>
          <w:sz w:val="24"/>
          <w:szCs w:val="24"/>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3784600</wp:posOffset>
                </wp:positionH>
                <wp:positionV relativeFrom="paragraph">
                  <wp:posOffset>0</wp:posOffset>
                </wp:positionV>
                <wp:extent cx="5544184" cy="2496781"/>
                <wp:effectExtent b="0" l="0" r="0" t="0"/>
                <wp:wrapSquare wrapText="bothSides" distB="0" distT="0" distL="114300" distR="114300"/>
                <wp:docPr id="9" name=""/>
                <a:graphic>
                  <a:graphicData uri="http://schemas.microsoft.com/office/word/2010/wordprocessingGroup">
                    <wpg:wgp>
                      <wpg:cNvGrpSpPr/>
                      <wpg:grpSpPr>
                        <a:xfrm>
                          <a:off x="2573900" y="2536350"/>
                          <a:ext cx="5544184" cy="2496781"/>
                          <a:chOff x="2573900" y="2536350"/>
                          <a:chExt cx="5544200" cy="2487300"/>
                        </a:xfrm>
                      </wpg:grpSpPr>
                      <wpg:grpSp>
                        <wpg:cNvGrpSpPr/>
                        <wpg:grpSpPr>
                          <a:xfrm>
                            <a:off x="2573908" y="2536356"/>
                            <a:ext cx="5544184" cy="2487288"/>
                            <a:chOff x="2573900" y="2541100"/>
                            <a:chExt cx="5544200" cy="2477800"/>
                          </a:xfrm>
                        </wpg:grpSpPr>
                        <wps:wsp>
                          <wps:cNvSpPr/>
                          <wps:cNvPr id="4" name="Shape 4"/>
                          <wps:spPr>
                            <a:xfrm>
                              <a:off x="2573900" y="2541100"/>
                              <a:ext cx="5544200" cy="2477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73908" y="2541103"/>
                              <a:ext cx="5544184" cy="2477795"/>
                              <a:chOff x="2573908" y="2547115"/>
                              <a:chExt cx="5544184" cy="2465770"/>
                            </a:xfrm>
                          </wpg:grpSpPr>
                          <wps:wsp>
                            <wps:cNvSpPr/>
                            <wps:cNvPr id="13" name="Shape 13"/>
                            <wps:spPr>
                              <a:xfrm>
                                <a:off x="2573908" y="2547115"/>
                                <a:ext cx="5544175" cy="2465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73908" y="2547115"/>
                                <a:ext cx="5544184" cy="2465770"/>
                                <a:chOff x="-902933" y="-152404"/>
                                <a:chExt cx="5545444" cy="2467044"/>
                              </a:xfrm>
                            </wpg:grpSpPr>
                            <wps:wsp>
                              <wps:cNvSpPr/>
                              <wps:cNvPr id="15" name="Shape 15"/>
                              <wps:spPr>
                                <a:xfrm>
                                  <a:off x="-902933" y="-152404"/>
                                  <a:ext cx="5545425" cy="2467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902933" y="-152404"/>
                                  <a:ext cx="5545444" cy="1750328"/>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80"/>
                                        <w:vertAlign w:val="baseline"/>
                                      </w:rPr>
                                      <w:t xml:space="preserve">CCEMUN</w:t>
                                    </w:r>
                                  </w:p>
                                </w:txbxContent>
                              </wps:txbx>
                              <wps:bodyPr anchorCtr="0" anchor="t" bIns="45700" lIns="91425" spcFirstLastPara="1" rIns="91425" wrap="square" tIns="45700">
                                <a:noAutofit/>
                              </wps:bodyPr>
                            </wps:wsp>
                            <wps:wsp>
                              <wps:cNvSpPr/>
                              <wps:cNvPr id="17" name="Shape 17"/>
                              <wps:spPr>
                                <a:xfrm>
                                  <a:off x="114081" y="866728"/>
                                  <a:ext cx="4388846" cy="1447912"/>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right"/>
                                      <w:textDirection w:val="btLr"/>
                                    </w:pPr>
                                    <w:r w:rsidDel="00000000" w:rsidR="00000000" w:rsidRPr="00000000">
                                      <w:rPr>
                                        <w:rFonts w:ascii="Times New Roman" w:cs="Times New Roman" w:eastAsia="Times New Roman" w:hAnsi="Times New Roman"/>
                                        <w:b w:val="1"/>
                                        <w:i w:val="0"/>
                                        <w:smallCaps w:val="0"/>
                                        <w:strike w:val="0"/>
                                        <w:color w:val="000000"/>
                                        <w:sz w:val="144"/>
                                        <w:vertAlign w:val="baseline"/>
                                      </w:rPr>
                                      <w:t xml:space="preserve">202</w:t>
                                    </w:r>
                                    <w:r w:rsidDel="00000000" w:rsidR="00000000" w:rsidRPr="00000000">
                                      <w:rPr>
                                        <w:rFonts w:ascii="Times New Roman" w:cs="Times New Roman" w:eastAsia="Times New Roman" w:hAnsi="Times New Roman"/>
                                        <w:b w:val="1"/>
                                        <w:i w:val="0"/>
                                        <w:smallCaps w:val="0"/>
                                        <w:strike w:val="0"/>
                                        <w:color w:val="000000"/>
                                        <w:sz w:val="144"/>
                                        <w:vertAlign w:val="baseline"/>
                                      </w:rPr>
                                      <w:t xml:space="preserve">6</w:t>
                                    </w:r>
                                  </w:p>
                                </w:txbxContent>
                              </wps:txbx>
                              <wps:bodyPr anchorCtr="0" anchor="t" bIns="45700" lIns="91425" spcFirstLastPara="1" rIns="91425" wrap="square" tIns="45700">
                                <a:noAutofit/>
                              </wps:bodyPr>
                            </wps:w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3784600</wp:posOffset>
                </wp:positionH>
                <wp:positionV relativeFrom="paragraph">
                  <wp:posOffset>0</wp:posOffset>
                </wp:positionV>
                <wp:extent cx="5544184" cy="2496781"/>
                <wp:effectExtent b="0" l="0" r="0" t="0"/>
                <wp:wrapSquare wrapText="bothSides" distB="0" distT="0" distL="114300" distR="114300"/>
                <wp:docPr id="9"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5544184" cy="2496781"/>
                        </a:xfrm>
                        <a:prstGeom prst="rect"/>
                        <a:ln/>
                      </pic:spPr>
                    </pic:pic>
                  </a:graphicData>
                </a:graphic>
              </wp:anchor>
            </w:drawing>
          </mc:Fallback>
        </mc:AlternateContent>
      </w:r>
    </w:p>
    <w:p w:rsidR="00000000" w:rsidDel="00000000" w:rsidP="00000000" w:rsidRDefault="00000000" w:rsidRPr="00000000" w14:paraId="00000002">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3">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4">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7">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B">
      <w:pPr>
        <w:rPr>
          <w:rFonts w:ascii="Arial" w:cs="Arial" w:eastAsia="Arial" w:hAnsi="Arial"/>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-76199</wp:posOffset>
                </wp:positionH>
                <wp:positionV relativeFrom="paragraph">
                  <wp:posOffset>94546</wp:posOffset>
                </wp:positionV>
                <wp:extent cx="7738745" cy="2312670"/>
                <wp:effectExtent b="0" l="0" r="0" t="0"/>
                <wp:wrapSquare wrapText="bothSides" distB="0" distT="0" distL="114300" distR="114300"/>
                <wp:docPr id="8" name=""/>
                <a:graphic>
                  <a:graphicData uri="http://schemas.microsoft.com/office/word/2010/wordprocessingGroup">
                    <wpg:wgp>
                      <wpg:cNvGrpSpPr/>
                      <wpg:grpSpPr>
                        <a:xfrm>
                          <a:off x="1476625" y="2623650"/>
                          <a:ext cx="7738745" cy="2312670"/>
                          <a:chOff x="1476625" y="2623650"/>
                          <a:chExt cx="7738750" cy="2312700"/>
                        </a:xfrm>
                      </wpg:grpSpPr>
                      <wpg:grpSp>
                        <wpg:cNvGrpSpPr/>
                        <wpg:grpSpPr>
                          <a:xfrm>
                            <a:off x="1476628" y="2623665"/>
                            <a:ext cx="7738745" cy="2312670"/>
                            <a:chOff x="1476625" y="2623650"/>
                            <a:chExt cx="7738750" cy="2312700"/>
                          </a:xfrm>
                        </wpg:grpSpPr>
                        <wps:wsp>
                          <wps:cNvSpPr/>
                          <wps:cNvPr id="4" name="Shape 4"/>
                          <wps:spPr>
                            <a:xfrm>
                              <a:off x="1476625" y="2623650"/>
                              <a:ext cx="7738750" cy="23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476628" y="2623665"/>
                              <a:ext cx="7738745" cy="2312670"/>
                              <a:chOff x="1476311" y="2623151"/>
                              <a:chExt cx="7739378" cy="2313698"/>
                            </a:xfrm>
                          </wpg:grpSpPr>
                          <wps:wsp>
                            <wps:cNvSpPr/>
                            <wps:cNvPr id="6" name="Shape 6"/>
                            <wps:spPr>
                              <a:xfrm>
                                <a:off x="1476311" y="2623151"/>
                                <a:ext cx="7739375" cy="2313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476311" y="2623151"/>
                                <a:ext cx="7739378" cy="2313698"/>
                                <a:chOff x="-9525" y="0"/>
                                <a:chExt cx="7739378" cy="2313698"/>
                              </a:xfrm>
                            </wpg:grpSpPr>
                            <wps:wsp>
                              <wps:cNvSpPr/>
                              <wps:cNvPr id="8" name="Shape 8"/>
                              <wps:spPr>
                                <a:xfrm>
                                  <a:off x="-9525" y="0"/>
                                  <a:ext cx="7739375" cy="2313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1" y="0"/>
                                  <a:ext cx="7729854" cy="1447164"/>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44"/>
                                        <w:vertAlign w:val="baseline"/>
                                      </w:rPr>
                                      <w:t xml:space="preserve">GUÍA </w:t>
                                    </w:r>
                                  </w:p>
                                </w:txbxContent>
                              </wps:txbx>
                              <wps:bodyPr anchorCtr="0" anchor="t" bIns="45700" lIns="91425" spcFirstLastPara="1" rIns="91425" wrap="square" tIns="45700">
                                <a:noAutofit/>
                              </wps:bodyPr>
                            </wps:wsp>
                            <wps:wsp>
                              <wps:cNvSpPr/>
                              <wps:cNvPr id="10" name="Shape 10"/>
                              <wps:spPr>
                                <a:xfrm>
                                  <a:off x="-9525" y="866534"/>
                                  <a:ext cx="7729220" cy="1447164"/>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44"/>
                                        <w:vertAlign w:val="baseline"/>
                                      </w:rPr>
                                      <w:t xml:space="preserve">ACADÉMICA </w:t>
                                    </w:r>
                                  </w:p>
                                </w:txbxContent>
                              </wps:txbx>
                              <wps:bodyPr anchorCtr="0" anchor="t" bIns="45700" lIns="91425" spcFirstLastPara="1" rIns="91425" wrap="square" tIns="45700">
                                <a:noAutofit/>
                              </wps:bodyPr>
                            </wps:w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-76199</wp:posOffset>
                </wp:positionH>
                <wp:positionV relativeFrom="paragraph">
                  <wp:posOffset>94546</wp:posOffset>
                </wp:positionV>
                <wp:extent cx="7738745" cy="2312670"/>
                <wp:effectExtent b="0" l="0" r="0" t="0"/>
                <wp:wrapSquare wrapText="bothSides" distB="0" distT="0" distL="114300" distR="114300"/>
                <wp:docPr id="8"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7738745" cy="2312670"/>
                        </a:xfrm>
                        <a:prstGeom prst="rect"/>
                        <a:ln/>
                      </pic:spPr>
                    </pic:pic>
                  </a:graphicData>
                </a:graphic>
              </wp:anchor>
            </w:drawing>
          </mc:Fallback>
        </mc:AlternateContent>
      </w:r>
    </w:p>
    <w:p w:rsidR="00000000" w:rsidDel="00000000" w:rsidP="00000000" w:rsidRDefault="00000000" w:rsidRPr="00000000" w14:paraId="0000000C">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D">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E">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F">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0">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1">
      <w:pPr>
        <w:rPr>
          <w:rFonts w:ascii="Arial" w:cs="Arial" w:eastAsia="Arial" w:hAnsi="Arial"/>
          <w:sz w:val="24"/>
          <w:szCs w:val="24"/>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-76199</wp:posOffset>
                </wp:positionH>
                <wp:positionV relativeFrom="paragraph">
                  <wp:posOffset>696215</wp:posOffset>
                </wp:positionV>
                <wp:extent cx="9294495" cy="933259"/>
                <wp:effectExtent b="0" l="0" r="0" t="0"/>
                <wp:wrapSquare wrapText="bothSides" distB="45720" distT="45720" distL="114300" distR="114300"/>
                <wp:docPr id="7" name=""/>
                <a:graphic>
                  <a:graphicData uri="http://schemas.microsoft.com/office/word/2010/wordprocessingShape">
                    <wps:wsp>
                      <wps:cNvSpPr/>
                      <wps:cNvPr id="2" name="Shape 2"/>
                      <wps:spPr>
                        <a:xfrm>
                          <a:off x="708278" y="3322800"/>
                          <a:ext cx="9275445" cy="914400"/>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60"/>
                                <w:vertAlign w:val="baseline"/>
                              </w:rPr>
                              <w:t xml:space="preserve">GAC CORTE</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-76199</wp:posOffset>
                </wp:positionH>
                <wp:positionV relativeFrom="paragraph">
                  <wp:posOffset>696215</wp:posOffset>
                </wp:positionV>
                <wp:extent cx="9294495" cy="933259"/>
                <wp:effectExtent b="0" l="0" r="0" t="0"/>
                <wp:wrapSquare wrapText="bothSides" distB="45720" distT="45720" distL="114300" distR="114300"/>
                <wp:docPr id="7"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9294495" cy="933259"/>
                        </a:xfrm>
                        <a:prstGeom prst="rect"/>
                        <a:ln/>
                      </pic:spPr>
                    </pic:pic>
                  </a:graphicData>
                </a:graphic>
              </wp:anchor>
            </w:drawing>
          </mc:Fallback>
        </mc:AlternateContent>
      </w:r>
    </w:p>
    <w:p w:rsidR="00000000" w:rsidDel="00000000" w:rsidP="00000000" w:rsidRDefault="00000000" w:rsidRPr="00000000" w14:paraId="00000012">
      <w:pPr>
        <w:tabs>
          <w:tab w:val="left" w:leader="none" w:pos="210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3">
      <w:pPr>
        <w:tabs>
          <w:tab w:val="left" w:leader="none" w:pos="2100"/>
        </w:tabs>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CARTA DE INVITACIÓN</w:t>
      </w:r>
      <w:r w:rsidDel="00000000" w:rsidR="00000000" w:rsidRPr="00000000">
        <w:rPr>
          <w:rtl w:val="0"/>
        </w:rPr>
      </w:r>
    </w:p>
    <w:p w:rsidR="00000000" w:rsidDel="00000000" w:rsidP="00000000" w:rsidRDefault="00000000" w:rsidRPr="00000000" w14:paraId="00000014">
      <w:pPr>
        <w:spacing w:after="0" w:line="276" w:lineRule="auto"/>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"Nuestra recompensa se encuentra en el esfuerzo y no en el resultado; un esfuerzo total es una victoria completa  ".</w:t>
      </w:r>
    </w:p>
    <w:p w:rsidR="00000000" w:rsidDel="00000000" w:rsidP="00000000" w:rsidRDefault="00000000" w:rsidRPr="00000000" w14:paraId="00000015">
      <w:pPr>
        <w:numPr>
          <w:ilvl w:val="0"/>
          <w:numId w:val="2"/>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i w:val="1"/>
          <w:iCs w:val="1"/>
          <w:sz w:val="24"/>
          <w:szCs w:val="24"/>
          <w:rtl w:val="0"/>
        </w:rPr>
        <w:t xml:space="preserve">Ghandi </w:t>
      </w:r>
    </w:p>
    <w:p w:rsidR="00000000" w:rsidDel="00000000" w:rsidP="00000000" w:rsidRDefault="00000000" w:rsidRPr="00000000" w14:paraId="00000016">
      <w:pPr>
        <w:spacing w:after="0" w:line="256" w:lineRule="auto"/>
        <w:ind w:left="0" w:right="360" w:firstLine="0"/>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Desde la mesa directiva  y secretarias es un placer darles la bienvenida a la VIII edición de CCEMUN y a nuestra comisión GAC corte , nos encontramos muy felices de poder compartir con ustedes esta hermosa experiencia, esperamos que la disfruten tanto como nosotros lo haremos y que puedan llevarse muy buenos recuerdos de su participación en este evento.</w:t>
      </w:r>
    </w:p>
    <w:p w:rsidR="00000000" w:rsidDel="00000000" w:rsidP="00000000" w:rsidRDefault="00000000" w:rsidRPr="00000000" w14:paraId="00000017">
      <w:pPr>
        <w:spacing w:line="256" w:lineRule="auto"/>
        <w:ind w:left="0" w:right="360" w:firstLine="0"/>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Este ejercicio más allá de aportar al ámbito académico, se presentará como una oportunidad para que cada uno de los delegados evalúe y proponga soluciones ante problemáticas históricas desde diversos puntos de vista, habilidades las cuales les ayudarán a formar un criterio propio; durante el desarrollo del debate notarán cómo la participación de cada uno de ustedes será de vital importancia para resolver las  preguntas y temas  planteados, y llegar a acuerdos que siempre apuntan al rescate de la (a veces pérdida) dignidad humana. No solo queremos ver el modelo como un espacio de interacción académica, sino que también queremos que se sientan como en casa y conozcan personas excepcionales.</w:t>
      </w:r>
    </w:p>
    <w:p w:rsidR="00000000" w:rsidDel="00000000" w:rsidP="00000000" w:rsidRDefault="00000000" w:rsidRPr="00000000" w14:paraId="00000018">
      <w:pPr>
        <w:spacing w:line="256" w:lineRule="auto"/>
        <w:ind w:left="0" w:right="360" w:firstLine="0"/>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El verdadero valor del trabajo se verá reflejado en la calidad de investigación y participación de cada miembro. Lo importante será la confianza que reflejen y el jugo que le puedan sacar a esta experiencia. Por último, recuerden que cuentan con todo nuestro apoyo y que estamos orgullosas de que sean partícipes de esta comisión, estamos para guiarlos y resolver cualquier duda.</w:t>
      </w:r>
    </w:p>
    <w:tbl>
      <w:tblPr>
        <w:tblStyle w:val="Table1"/>
        <w:tblpPr w:leftFromText="180" w:rightFromText="180" w:topFromText="180" w:bottomFromText="180" w:vertAnchor="text" w:horzAnchor="text" w:tblpX="405" w:tblpY="0"/>
        <w:tblW w:w="14010.0" w:type="dxa"/>
        <w:jc w:val="left"/>
        <w:tblInd w:w="540.0" w:type="dxa"/>
        <w:tblLayout w:type="fixed"/>
        <w:tblLook w:val="0600"/>
      </w:tblPr>
      <w:tblGrid>
        <w:gridCol w:w="6615"/>
        <w:gridCol w:w="7395"/>
        <w:tblGridChange w:id="0">
          <w:tblGrid>
            <w:gridCol w:w="6615"/>
            <w:gridCol w:w="7395"/>
          </w:tblGrid>
        </w:tblGridChange>
      </w:tblGrid>
      <w:tr>
        <w:trPr>
          <w:cantSplit w:val="0"/>
          <w:trHeight w:val="394" w:hRule="atLeast"/>
          <w:tblHeader w:val="0"/>
        </w:trPr>
        <w:tc>
          <w:tcPr>
            <w:vAlign w:val="bottom"/>
          </w:tcPr>
          <w:p w:rsidR="00000000" w:rsidDel="00000000" w:rsidP="00000000" w:rsidRDefault="00000000" w:rsidRPr="00000000" w14:paraId="00000019">
            <w:pPr>
              <w:jc w:val="both"/>
              <w:rPr>
                <w:rFonts w:ascii="Arial" w:cs="Arial" w:eastAsia="Arial" w:hAnsi="Arial"/>
                <w:b w:val="1"/>
                <w:bCs w:val="1"/>
                <w:i w:val="1"/>
                <w:iCs w:val="1"/>
                <w:sz w:val="24"/>
                <w:szCs w:val="24"/>
              </w:rPr>
            </w:pPr>
            <w:r w:rsidDel="00000000" w:rsidR="00000000" w:rsidRPr="00000000">
              <w:rPr>
                <w:rFonts w:ascii="Arial" w:cs="Arial" w:eastAsia="Arial" w:hAnsi="Arial"/>
                <w:b w:val="1"/>
                <w:bCs w:val="1"/>
                <w:i w:val="1"/>
                <w:iCs w:val="1"/>
                <w:sz w:val="24"/>
                <w:szCs w:val="24"/>
                <w:rtl w:val="0"/>
              </w:rPr>
              <w:t xml:space="preserve">Atentamente:</w:t>
            </w:r>
          </w:p>
        </w:tc>
        <w:tc>
          <w:tcPr>
            <w:vAlign w:val="bottom"/>
          </w:tcPr>
          <w:p w:rsidR="00000000" w:rsidDel="00000000" w:rsidP="00000000" w:rsidRDefault="00000000" w:rsidRPr="00000000" w14:paraId="0000001A">
            <w:pPr>
              <w:jc w:val="both"/>
              <w:rPr>
                <w:rFonts w:ascii="Arial" w:cs="Arial" w:eastAsia="Arial" w:hAnsi="Arial"/>
                <w:sz w:val="24"/>
                <w:szCs w:val="24"/>
              </w:rPr>
            </w:pPr>
            <w:r w:rsidDel="00000000" w:rsidR="00000000" w:rsidRPr="00000000">
              <w:rPr>
                <w:rtl w:val="0"/>
              </w:rPr>
            </w:r>
          </w:p>
        </w:tc>
      </w:tr>
      <w:tr>
        <w:trPr>
          <w:cantSplit w:val="0"/>
          <w:trHeight w:val="1359.92431640625" w:hRule="atLeast"/>
          <w:tblHeader w:val="0"/>
        </w:trPr>
        <w:tc>
          <w:tcPr>
            <w:vAlign w:val="bottom"/>
          </w:tcPr>
          <w:p w:rsidR="00000000" w:rsidDel="00000000" w:rsidP="00000000" w:rsidRDefault="00000000" w:rsidRPr="00000000" w14:paraId="0000001B">
            <w:pPr>
              <w:jc w:val="both"/>
              <w:rPr>
                <w:rFonts w:ascii="Arial" w:cs="Arial" w:eastAsia="Arial" w:hAnsi="Arial"/>
                <w:i w:val="1"/>
                <w:iCs w:val="1"/>
                <w:sz w:val="24"/>
                <w:szCs w:val="24"/>
              </w:rPr>
            </w:pPr>
            <w:r w:rsidDel="00000000" w:rsidR="00000000" w:rsidRPr="00000000">
              <w:rPr>
                <w:rFonts w:ascii="Arial" w:cs="Arial" w:eastAsia="Arial" w:hAnsi="Arial"/>
                <w:b w:val="1"/>
                <w:bCs w:val="1"/>
                <w:i w:val="1"/>
                <w:iCs w:val="1"/>
                <w:sz w:val="24"/>
                <w:szCs w:val="24"/>
                <w:rtl w:val="0"/>
              </w:rPr>
              <w:t xml:space="preserve">Presidenta:</w:t>
            </w:r>
            <w:r w:rsidDel="00000000" w:rsidR="00000000" w:rsidRPr="00000000">
              <w:rPr>
                <w:rFonts w:ascii="Arial" w:cs="Arial" w:eastAsia="Arial" w:hAnsi="Arial"/>
                <w:i w:val="1"/>
                <w:iCs w:val="1"/>
                <w:sz w:val="24"/>
                <w:szCs w:val="24"/>
                <w:rtl w:val="0"/>
              </w:rPr>
              <w:t xml:space="preserve">María José Castillo.     </w:t>
            </w:r>
          </w:p>
          <w:p w:rsidR="00000000" w:rsidDel="00000000" w:rsidP="00000000" w:rsidRDefault="00000000" w:rsidRPr="00000000" w14:paraId="0000001C">
            <w:pPr>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Cel: +57 310 809 4054</w:t>
            </w:r>
          </w:p>
        </w:tc>
        <w:tc>
          <w:tcPr>
            <w:vAlign w:val="bottom"/>
          </w:tcPr>
          <w:p w:rsidR="00000000" w:rsidDel="00000000" w:rsidP="00000000" w:rsidRDefault="00000000" w:rsidRPr="00000000" w14:paraId="0000001D">
            <w:pPr>
              <w:jc w:val="both"/>
              <w:rPr>
                <w:rFonts w:ascii="Arial" w:cs="Arial" w:eastAsia="Arial" w:hAnsi="Arial"/>
                <w:i w:val="1"/>
                <w:iCs w:val="1"/>
                <w:sz w:val="24"/>
                <w:szCs w:val="24"/>
              </w:rPr>
            </w:pPr>
            <w:r w:rsidDel="00000000" w:rsidR="00000000" w:rsidRPr="00000000">
              <w:rPr>
                <w:rFonts w:ascii="Arial" w:cs="Arial" w:eastAsia="Arial" w:hAnsi="Arial"/>
                <w:b w:val="1"/>
                <w:bCs w:val="1"/>
                <w:i w:val="1"/>
                <w:iCs w:val="1"/>
                <w:sz w:val="24"/>
                <w:szCs w:val="24"/>
                <w:rtl w:val="0"/>
              </w:rPr>
              <w:t xml:space="preserve">Vicepresidentas: </w:t>
            </w:r>
            <w:r w:rsidDel="00000000" w:rsidR="00000000" w:rsidRPr="00000000">
              <w:rPr>
                <w:rFonts w:ascii="Arial" w:cs="Arial" w:eastAsia="Arial" w:hAnsi="Arial"/>
                <w:i w:val="1"/>
                <w:iCs w:val="1"/>
                <w:sz w:val="24"/>
                <w:szCs w:val="24"/>
                <w:rtl w:val="0"/>
              </w:rPr>
              <w:t xml:space="preserve">Sofía Núñez Sanabria +57 305 225 8773       </w:t>
            </w:r>
          </w:p>
          <w:p w:rsidR="00000000" w:rsidDel="00000000" w:rsidP="00000000" w:rsidRDefault="00000000" w:rsidRPr="00000000" w14:paraId="0000001E">
            <w:pPr>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                    Luisa Mejía +57 323 7975 7667</w:t>
            </w:r>
          </w:p>
        </w:tc>
      </w:tr>
      <w:tr>
        <w:trPr>
          <w:cantSplit w:val="0"/>
          <w:trHeight w:val="623" w:hRule="atLeast"/>
          <w:tblHeader w:val="0"/>
        </w:trPr>
        <w:tc>
          <w:tcPr>
            <w:gridSpan w:val="2"/>
            <w:vAlign w:val="bottom"/>
          </w:tcPr>
          <w:p w:rsidR="00000000" w:rsidDel="00000000" w:rsidP="00000000" w:rsidRDefault="00000000" w:rsidRPr="00000000" w14:paraId="0000001F">
            <w:pPr>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Correo: </w:t>
            </w:r>
            <w:hyperlink r:id="rId9">
              <w:r w:rsidDel="00000000" w:rsidR="00000000" w:rsidRPr="00000000">
                <w:rPr>
                  <w:rFonts w:ascii="Arial" w:cs="Arial" w:eastAsia="Arial" w:hAnsi="Arial"/>
                  <w:i w:val="1"/>
                  <w:iCs w:val="1"/>
                  <w:color w:val="1155cc"/>
                  <w:sz w:val="24"/>
                  <w:szCs w:val="24"/>
                  <w:u w:val="single"/>
                  <w:rtl w:val="0"/>
                </w:rPr>
                <w:t xml:space="preserve">gac.corte@gmail.com</w:t>
              </w:r>
            </w:hyperlink>
            <w:r w:rsidDel="00000000" w:rsidR="00000000" w:rsidRPr="00000000">
              <w:rPr>
                <w:rtl w:val="0"/>
              </w:rPr>
            </w:r>
          </w:p>
          <w:p w:rsidR="00000000" w:rsidDel="00000000" w:rsidP="00000000" w:rsidRDefault="00000000" w:rsidRPr="00000000" w14:paraId="00000020">
            <w:pPr>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21">
            <w:pPr>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22">
            <w:pPr>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23">
            <w:pPr>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24">
            <w:pPr>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25">
            <w:pPr>
              <w:jc w:val="both"/>
              <w:rPr>
                <w:rFonts w:ascii="Arial" w:cs="Arial" w:eastAsia="Arial" w:hAnsi="Arial"/>
                <w:i w:val="1"/>
                <w:iCs w:val="1"/>
                <w:sz w:val="24"/>
                <w:szCs w:val="24"/>
              </w:rPr>
            </w:pPr>
            <w:r w:rsidDel="00000000" w:rsidR="00000000" w:rsidRPr="00000000">
              <w:rPr>
                <w:rtl w:val="0"/>
              </w:rPr>
            </w:r>
          </w:p>
        </w:tc>
      </w:tr>
    </w:tbl>
    <w:p w:rsidR="00000000" w:rsidDel="00000000" w:rsidP="00000000" w:rsidRDefault="00000000" w:rsidRPr="00000000" w14:paraId="00000027">
      <w:pPr>
        <w:spacing w:line="256" w:lineRule="auto"/>
        <w:ind w:left="0" w:right="360" w:firstLine="0"/>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GAC Corte</w:t>
      </w:r>
    </w:p>
    <w:p w:rsidR="00000000" w:rsidDel="00000000" w:rsidP="00000000" w:rsidRDefault="00000000" w:rsidRPr="00000000" w14:paraId="00000028">
      <w:pPr>
        <w:spacing w:line="256" w:lineRule="auto"/>
        <w:ind w:left="0" w:right="360" w:firstLine="0"/>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29">
      <w:pPr>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(Gabinete Adjunto De Crisis (GAC)</w:t>
      </w:r>
    </w:p>
    <w:p w:rsidR="00000000" w:rsidDel="00000000" w:rsidP="00000000" w:rsidRDefault="00000000" w:rsidRPr="00000000" w14:paraId="0000002A">
      <w:pPr>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El comité de crisis, por definición, es un grupo de individuos reunidos para resolver asuntos de relevancia inmediata. A diferencia de otros comités, su objetivo es encontrar soluciones rápidas a problemáticas como guerras o crisis económicas, etc  </w:t>
      </w:r>
    </w:p>
    <w:p w:rsidR="00000000" w:rsidDel="00000000" w:rsidP="00000000" w:rsidRDefault="00000000" w:rsidRPr="00000000" w14:paraId="0000002B">
      <w:pPr>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Es caracterizado por la ausencia de un moderador estricto, lo que permite debates abiertos. Durante las discusiones, se introducen directivas (órdenes, peticiones o acciones), lo que genera cambios continuos, ya que las decisiones de los delegados tienen consecuencias inmediatas que deben afrontar en el debate, en otras palabras, el problema evoluciona según las acciones tomadas por el comité</w:t>
      </w:r>
    </w:p>
    <w:p w:rsidR="00000000" w:rsidDel="00000000" w:rsidP="00000000" w:rsidRDefault="00000000" w:rsidRPr="00000000" w14:paraId="0000002C">
      <w:pPr>
        <w:spacing w:after="240" w:before="240" w:lineRule="auto"/>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El propósito principal es construir una declaración final bien sustentada a partir de los argumentos que se presenten, definiendo decisiones concretas que orienten el rumbo del proceso. Aunque el resultado no está escrito desde el inicio, la mesa busca mirar la historia con criterio, entender qué nos dejó el pasado y convertir esas lecciones en acciones reales para defender un futuro distinto</w:t>
      </w:r>
    </w:p>
    <w:p w:rsidR="00000000" w:rsidDel="00000000" w:rsidP="00000000" w:rsidRDefault="00000000" w:rsidRPr="00000000" w14:paraId="0000002D">
      <w:pPr>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2E">
      <w:pPr>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2F">
      <w:pPr>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31">
      <w:pPr>
        <w:jc w:val="both"/>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32">
      <w:pPr>
        <w:jc w:val="both"/>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33">
      <w:pPr>
        <w:jc w:val="both"/>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34">
      <w:pPr>
        <w:jc w:val="both"/>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35">
      <w:pPr>
        <w:jc w:val="both"/>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36">
      <w:pPr>
        <w:jc w:val="both"/>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37">
      <w:pPr>
        <w:jc w:val="both"/>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38">
      <w:pPr>
        <w:jc w:val="both"/>
        <w:rPr>
          <w:rFonts w:ascii="Arial" w:cs="Arial" w:eastAsia="Arial" w:hAnsi="Arial"/>
          <w:b w:val="1"/>
          <w:bCs w:val="1"/>
          <w:sz w:val="24"/>
          <w:szCs w:val="24"/>
        </w:rPr>
      </w:pPr>
      <w:r w:rsidDel="00000000" w:rsidR="00000000" w:rsidRPr="00000000">
        <w:rPr>
          <w:rFonts w:ascii="Arial" w:cs="Arial" w:eastAsia="Arial" w:hAnsi="Arial"/>
          <w:i w:val="1"/>
          <w:iCs w:val="1"/>
          <w:sz w:val="24"/>
          <w:szCs w:val="24"/>
          <w:rtl w:val="0"/>
        </w:rPr>
        <w:t xml:space="preserve">TEMA: </w:t>
      </w:r>
      <w:r w:rsidDel="00000000" w:rsidR="00000000" w:rsidRPr="00000000">
        <w:rPr>
          <w:rFonts w:ascii="Arial" w:cs="Arial" w:eastAsia="Arial" w:hAnsi="Arial"/>
          <w:sz w:val="24"/>
          <w:szCs w:val="24"/>
          <w:rtl w:val="0"/>
        </w:rPr>
        <w:t xml:space="preserve">La masacre del salado</w:t>
      </w:r>
      <w:r w:rsidDel="00000000" w:rsidR="00000000" w:rsidRPr="00000000">
        <w:rPr>
          <w:rFonts w:ascii="Arial" w:cs="Arial" w:eastAsia="Arial" w:hAnsi="Arial"/>
          <w:b w:val="1"/>
          <w:bCs w:val="1"/>
          <w:sz w:val="24"/>
          <w:szCs w:val="24"/>
          <w:rtl w:val="0"/>
        </w:rPr>
        <w:t xml:space="preserve"> </w:t>
      </w:r>
    </w:p>
    <w:p w:rsidR="00000000" w:rsidDel="00000000" w:rsidP="00000000" w:rsidRDefault="00000000" w:rsidRPr="00000000" w14:paraId="00000039">
      <w:pPr>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3A">
      <w:pPr>
        <w:spacing w:after="0" w:line="276" w:lineRule="auto"/>
        <w:rPr>
          <w:rFonts w:ascii="Arial" w:cs="Arial" w:eastAsia="Arial" w:hAnsi="Arial"/>
          <w:sz w:val="24"/>
          <w:szCs w:val="24"/>
        </w:rPr>
      </w:pPr>
      <w:r w:rsidDel="00000000" w:rsidR="00000000" w:rsidRPr="00000000">
        <w:rPr>
          <w:rFonts w:ascii="Arial" w:cs="Arial" w:eastAsia="Arial" w:hAnsi="Arial"/>
          <w:i w:val="1"/>
          <w:iCs w:val="1"/>
          <w:sz w:val="24"/>
          <w:szCs w:val="24"/>
          <w:rtl w:val="0"/>
        </w:rPr>
        <w:t xml:space="preserve">Durante el año 2000, el </w:t>
      </w:r>
      <w:r w:rsidDel="00000000" w:rsidR="00000000" w:rsidRPr="00000000">
        <w:rPr>
          <w:rFonts w:ascii="Arial" w:cs="Arial" w:eastAsia="Arial" w:hAnsi="Arial"/>
          <w:sz w:val="24"/>
          <w:szCs w:val="24"/>
          <w:rtl w:val="0"/>
        </w:rPr>
        <w:t xml:space="preserve">corregimiento de el Salado </w:t>
      </w:r>
      <w:r w:rsidDel="00000000" w:rsidR="00000000" w:rsidRPr="00000000">
        <w:rPr>
          <w:rFonts w:ascii="Arial" w:cs="Arial" w:eastAsia="Arial" w:hAnsi="Arial"/>
          <w:i w:val="1"/>
          <w:iCs w:val="1"/>
          <w:sz w:val="24"/>
          <w:szCs w:val="24"/>
          <w:rtl w:val="0"/>
        </w:rPr>
        <w:t xml:space="preserve">se convirtió en uno de los objetivos </w:t>
      </w:r>
      <w:r w:rsidDel="00000000" w:rsidR="00000000" w:rsidRPr="00000000">
        <w:rPr>
          <w:rFonts w:ascii="Arial" w:cs="Arial" w:eastAsia="Arial" w:hAnsi="Arial"/>
          <w:sz w:val="24"/>
          <w:szCs w:val="24"/>
          <w:rtl w:val="0"/>
        </w:rPr>
        <w:t xml:space="preserve">del conflicto armado colombiano y  paramilitares (AUC)</w:t>
      </w:r>
      <w:r w:rsidDel="00000000" w:rsidR="00000000" w:rsidRPr="00000000">
        <w:rPr>
          <w:rFonts w:ascii="Arial" w:cs="Arial" w:eastAsia="Arial" w:hAnsi="Arial"/>
          <w:i w:val="1"/>
          <w:iCs w:val="1"/>
          <w:sz w:val="24"/>
          <w:szCs w:val="24"/>
          <w:rtl w:val="0"/>
        </w:rPr>
        <w:t xml:space="preserve">, </w:t>
      </w:r>
      <w:r w:rsidDel="00000000" w:rsidR="00000000" w:rsidRPr="00000000">
        <w:rPr>
          <w:rFonts w:ascii="Arial" w:cs="Arial" w:eastAsia="Arial" w:hAnsi="Arial"/>
          <w:sz w:val="24"/>
          <w:szCs w:val="24"/>
          <w:rtl w:val="0"/>
        </w:rPr>
        <w:t xml:space="preserve">se dirigieron al pueblo para cometer asesinatos crueles y amenazas contra la población. Este hecho se dio en un contexto de disputas por el control territorial y debilidades del Estado y en consecuencia generó un ambiente de tensión y terror.</w:t>
      </w:r>
    </w:p>
    <w:p w:rsidR="00000000" w:rsidDel="00000000" w:rsidP="00000000" w:rsidRDefault="00000000" w:rsidRPr="00000000" w14:paraId="0000003B">
      <w:pPr>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i w:val="1"/>
          <w:iCs w:val="1"/>
          <w:smallCaps w:val="0"/>
          <w:strike w:val="0"/>
          <w:color w:val="000000"/>
          <w:sz w:val="24"/>
          <w:szCs w:val="24"/>
          <w:shd w:fill="auto" w:val="clear"/>
          <w:vertAlign w:val="baseline"/>
        </w:rPr>
      </w:pPr>
      <w:r w:rsidDel="00000000" w:rsidR="00000000" w:rsidRPr="00000000">
        <w:rPr>
          <w:rFonts w:ascii="Arial" w:cs="Arial" w:eastAsia="Arial" w:hAnsi="Arial"/>
          <w:i w:val="1"/>
          <w:iCs w:val="1"/>
          <w:smallCaps w:val="0"/>
          <w:strike w:val="0"/>
          <w:color w:val="000000"/>
          <w:sz w:val="24"/>
          <w:szCs w:val="24"/>
          <w:u w:val="none"/>
          <w:shd w:fill="auto" w:val="clear"/>
          <w:vertAlign w:val="baseline"/>
          <w:rtl w:val="0"/>
        </w:rPr>
        <w:t xml:space="preserve">ENFOQUE 1: </w:t>
      </w:r>
      <w:r w:rsidDel="00000000" w:rsidR="00000000" w:rsidRPr="00000000">
        <w:rPr>
          <w:rFonts w:ascii="Arial" w:cs="Arial" w:eastAsia="Arial" w:hAnsi="Arial"/>
          <w:color w:val="0d0d0d"/>
          <w:sz w:val="24"/>
          <w:szCs w:val="24"/>
          <w:rtl w:val="0"/>
        </w:rPr>
        <w:t xml:space="preserve">¿Puede considerarse realmente reparada una víctima de la masacre de El Salado si recibe una indemnización, pero no se garantiza verdad, justicia, recuperación de su proyecto de vida y la no repetición de la violencia? </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i w:val="1"/>
          <w:iCs w:val="1"/>
          <w:smallCaps w:val="0"/>
          <w:strike w:val="0"/>
          <w:color w:val="000000"/>
          <w:sz w:val="24"/>
          <w:szCs w:val="24"/>
          <w:shd w:fill="auto" w:val="clear"/>
          <w:vertAlign w:val="baseline"/>
        </w:rPr>
      </w:pPr>
      <w:r w:rsidDel="00000000" w:rsidR="00000000" w:rsidRPr="00000000">
        <w:rPr>
          <w:rFonts w:ascii="Arial" w:cs="Arial" w:eastAsia="Arial" w:hAnsi="Arial"/>
          <w:i w:val="1"/>
          <w:iCs w:val="1"/>
          <w:sz w:val="24"/>
          <w:szCs w:val="24"/>
          <w:rtl w:val="0"/>
        </w:rPr>
        <w:t xml:space="preserve">ENFOQUE 2: ¿La masacre de El Salado era inevitable por el contexto del conflicto armado o pudo haberse evitado mediante decisiones oportunas de las autoridades y de los diferentes actores involucrados?</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right="0"/>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40">
      <w:pPr>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41">
      <w:pPr>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1er Enfoque: </w:t>
      </w:r>
      <w:r w:rsidDel="00000000" w:rsidR="00000000" w:rsidRPr="00000000">
        <w:rPr>
          <w:rFonts w:ascii="Arial" w:cs="Arial" w:eastAsia="Arial" w:hAnsi="Arial"/>
          <w:color w:val="0d0d0d"/>
          <w:sz w:val="24"/>
          <w:szCs w:val="24"/>
          <w:rtl w:val="0"/>
        </w:rPr>
        <w:t xml:space="preserve">¿Puede considerarse realmente reparada una víctima de la masacre de El Salado si recibe una indemnización, pero no se garantiza verdad, justicia, recuperación de su proyecto de vida y la no repetición de la violencia? </w:t>
      </w:r>
      <w:r w:rsidDel="00000000" w:rsidR="00000000" w:rsidRPr="00000000">
        <w:rPr>
          <w:rtl w:val="0"/>
        </w:rPr>
      </w:r>
    </w:p>
    <w:p w:rsidR="00000000" w:rsidDel="00000000" w:rsidP="00000000" w:rsidRDefault="00000000" w:rsidRPr="00000000" w14:paraId="00000042">
      <w:pPr>
        <w:spacing w:after="240" w:before="240" w:lineRule="auto"/>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La masacre de el salado dejó consecuencias que van más allá de daños materiales, las víctimas pasaron por perdidas familiares, desplazamientos, pérdida de bienes, afectaciones emocionales y rupturas en la vida de las personas. </w:t>
      </w:r>
      <w:r w:rsidDel="00000000" w:rsidR="00000000" w:rsidRPr="00000000">
        <w:rPr>
          <w:rFonts w:ascii="Arial" w:cs="Arial" w:eastAsia="Arial" w:hAnsi="Arial"/>
          <w:color w:val="0d0d0d"/>
          <w:sz w:val="24"/>
          <w:szCs w:val="24"/>
          <w:shd w:fill="fcfcfc" w:val="clear"/>
          <w:rtl w:val="0"/>
        </w:rPr>
        <w:t xml:space="preserve">Por esta razón, surge la pregunta de si una indemnización económica es suficiente para reparar los daños ocasionados por la violencia o si el Estado debe garantizar una reparación mucho más amplia.</w:t>
      </w:r>
      <w:r w:rsidDel="00000000" w:rsidR="00000000" w:rsidRPr="00000000">
        <w:rPr>
          <w:rFonts w:ascii="Arial" w:cs="Arial" w:eastAsia="Arial" w:hAnsi="Arial"/>
          <w:i w:val="1"/>
          <w:iCs w:val="1"/>
          <w:sz w:val="24"/>
          <w:szCs w:val="24"/>
          <w:rtl w:val="0"/>
        </w:rPr>
        <w:t xml:space="preserve"> </w:t>
      </w:r>
    </w:p>
    <w:p w:rsidR="00000000" w:rsidDel="00000000" w:rsidP="00000000" w:rsidRDefault="00000000" w:rsidRPr="00000000" w14:paraId="00000043">
      <w:pPr>
        <w:spacing w:after="240" w:before="240" w:lineRule="auto"/>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Se analizará si se puede considerar realmente reparada una víctima de El Salado cuando recibe indemnización, pero aún existen necesidades de verdad, justicia, recuperación de su proyecto de vida y garantías de no repetición. Se tendrán en cuenta las diferentes dimensiones de la reparación integral: la indemnización, la rehabilitación, la restitución, las medidas de satisfacción y las garantías de no repetición. También se examinará el papel del Estado en la atención y protección de las víctimas, así como la importancia de reconocer  públicamente lo ocurrido y preservar la memoria de la comunidad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45">
      <w:pPr>
        <w:pStyle w:val="Heading3"/>
        <w:keepNext w:val="0"/>
        <w:keepLines w:val="0"/>
        <w:spacing w:line="276" w:lineRule="auto"/>
        <w:rPr>
          <w:rFonts w:ascii="Arial" w:cs="Arial" w:eastAsia="Arial" w:hAnsi="Arial"/>
          <w:b w:val="0"/>
          <w:bCs w:val="0"/>
          <w:i w:val="1"/>
          <w:iCs w:val="1"/>
          <w:sz w:val="24"/>
          <w:szCs w:val="24"/>
        </w:rPr>
      </w:pPr>
      <w:bookmarkStart w:colFirst="0" w:colLast="0" w:name="_heading=h.hn3tq9k2sseg" w:id="0"/>
      <w:bookmarkEnd w:id="0"/>
      <w:r w:rsidDel="00000000" w:rsidR="00000000" w:rsidRPr="00000000">
        <w:rPr>
          <w:rFonts w:ascii="Arial" w:cs="Arial" w:eastAsia="Arial" w:hAnsi="Arial"/>
          <w:b w:val="0"/>
          <w:bCs w:val="0"/>
          <w:i w:val="1"/>
          <w:iCs w:val="1"/>
          <w:sz w:val="24"/>
          <w:szCs w:val="24"/>
          <w:rtl w:val="0"/>
        </w:rPr>
        <w:t xml:space="preserve">2.º ENFOQUE: Desplazamiento forzado, abandono y retorno de la comunidad de El Salado</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La masacre de El Salado ocurrió en medio de un contexto de confrontación armada, presencia de grupos paramilitares y graves condiciones de inseguridad en los Montes de María. Sin embargo, que existiera un contexto de violencia no significa necesariamente que la masacre fuera inevitable. Por ello, este enfoque busca analizar qué decisiones, acciones u omisiones pudieron influir en el desarrollo de los hechos. Se examinarán las actuaciones de los grupos paramilitares, las decisiones de los mandos militares y las autoridades civiles, así como la información disponible sobre la situación de seguridad de la población. También se tendrán en cuenta las responsabilidades de las instituciones encargadas de investigar, proteger y atender a las víctimas, tanto durante la época de los hechos como posteriormente.</w:t>
      </w:r>
    </w:p>
    <w:p w:rsidR="00000000" w:rsidDel="00000000" w:rsidP="00000000" w:rsidRDefault="00000000" w:rsidRPr="00000000" w14:paraId="00000048">
      <w:pPr>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49">
      <w:pPr>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Los testimonios de las víctimas permitirán mostrar cómo las decisiones tomadas por diferentes actores afectaron directamente a los habitantes de El Salado.</w:t>
      </w:r>
      <w:r w:rsidDel="00000000" w:rsidR="00000000" w:rsidRPr="00000000">
        <w:rPr>
          <w:rtl w:val="0"/>
        </w:rPr>
      </w:r>
    </w:p>
    <w:p w:rsidR="00000000" w:rsidDel="00000000" w:rsidP="00000000" w:rsidRDefault="00000000" w:rsidRPr="00000000" w14:paraId="0000004A">
      <w:pPr>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4B">
      <w:pPr>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4C">
      <w:pPr>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4D">
      <w:pPr>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4E">
      <w:pPr>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4F">
      <w:pPr>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50">
      <w:pPr>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51">
      <w:pPr>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DOCUMENTOS RELEVANTES PARA LA INVESTIGACIÓN:</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1"/>
          <w:iCs w:val="1"/>
          <w:smallCaps w:val="0"/>
          <w:strike w:val="0"/>
          <w:color w:val="000000"/>
          <w:sz w:val="24"/>
          <w:szCs w:val="24"/>
          <w:shd w:fill="auto" w:val="clear"/>
          <w:vertAlign w:val="baseline"/>
        </w:rPr>
      </w:pPr>
      <w:r w:rsidDel="00000000" w:rsidR="00000000" w:rsidRPr="00000000">
        <w:rPr>
          <w:rFonts w:ascii="Arial" w:cs="Arial" w:eastAsia="Arial" w:hAnsi="Arial"/>
          <w:sz w:val="24"/>
          <w:szCs w:val="24"/>
          <w:rtl w:val="0"/>
        </w:rPr>
        <w:t xml:space="preserve">La masacre de El Salado: esa guerra no era nuestra (PDF) </w:t>
      </w:r>
      <w:hyperlink r:id="rId10">
        <w:r w:rsidDel="00000000" w:rsidR="00000000" w:rsidRPr="00000000">
          <w:rPr>
            <w:rFonts w:ascii="Arial" w:cs="Arial" w:eastAsia="Arial" w:hAnsi="Arial"/>
            <w:color w:val="1155cc"/>
            <w:sz w:val="24"/>
            <w:szCs w:val="24"/>
            <w:u w:val="single"/>
            <w:rtl w:val="0"/>
          </w:rPr>
          <w:t xml:space="preserve">3.-La-masacre-de-El-Salado.pdf</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testigos: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w:hyperlink r:id="rId11">
        <w:r w:rsidDel="00000000" w:rsidR="00000000" w:rsidRPr="00000000">
          <w:rPr>
            <w:rFonts w:ascii="Arial" w:cs="Arial" w:eastAsia="Arial" w:hAnsi="Arial"/>
            <w:color w:val="0000ee"/>
            <w:sz w:val="24"/>
            <w:szCs w:val="24"/>
            <w:u w:val="single"/>
            <w:rtl w:val="0"/>
          </w:rPr>
          <w:t xml:space="preserve">El Salado: esa guerra no era nuestra - Testigo Directo HD</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w:hyperlink r:id="rId12">
        <w:r w:rsidDel="00000000" w:rsidR="00000000" w:rsidRPr="00000000">
          <w:rPr>
            <w:rFonts w:ascii="Arial" w:cs="Arial" w:eastAsia="Arial" w:hAnsi="Arial"/>
            <w:color w:val="0000ee"/>
            <w:sz w:val="24"/>
            <w:szCs w:val="24"/>
            <w:u w:val="single"/>
            <w:rtl w:val="0"/>
          </w:rPr>
          <w:t xml:space="preserve">El Salado: Rostro de una masacre (El Salado: Face of a slaughter)</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w:hyperlink r:id="rId13">
        <w:r w:rsidDel="00000000" w:rsidR="00000000" w:rsidRPr="00000000">
          <w:rPr>
            <w:rFonts w:ascii="Arial" w:cs="Arial" w:eastAsia="Arial" w:hAnsi="Arial"/>
            <w:color w:val="0000ee"/>
            <w:sz w:val="24"/>
            <w:szCs w:val="24"/>
            <w:u w:val="single"/>
            <w:rtl w:val="0"/>
          </w:rPr>
          <w:t xml:space="preserve">La historia de El Salado contada por las víctimas</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Spectral" w:cs="Spectral" w:eastAsia="Spectral" w:hAnsi="Spectral"/>
          <w:sz w:val="24"/>
          <w:szCs w:val="24"/>
        </w:rPr>
      </w:pPr>
      <w:r w:rsidDel="00000000" w:rsidR="00000000" w:rsidRPr="00000000">
        <w:rPr>
          <w:rFonts w:ascii="Arial" w:cs="Arial" w:eastAsia="Arial" w:hAnsi="Arial"/>
          <w:sz w:val="24"/>
          <w:szCs w:val="24"/>
          <w:rtl w:val="0"/>
        </w:rPr>
        <w:t xml:space="preserve">CNMH+CCJ+JEP para comparar </w:t>
      </w:r>
      <w:r w:rsidDel="00000000" w:rsidR="00000000" w:rsidRPr="00000000">
        <w:rPr>
          <w:rFonts w:ascii="Arial" w:cs="Arial" w:eastAsia="Arial" w:hAnsi="Arial"/>
          <w:sz w:val="24"/>
          <w:szCs w:val="24"/>
          <w:rtl w:val="0"/>
        </w:rPr>
        <w:t xml:space="preserve">indemnización</w:t>
      </w:r>
      <w:r w:rsidDel="00000000" w:rsidR="00000000" w:rsidRPr="00000000">
        <w:rPr>
          <w:rFonts w:ascii="Arial" w:cs="Arial" w:eastAsia="Arial" w:hAnsi="Arial"/>
          <w:sz w:val="24"/>
          <w:szCs w:val="24"/>
          <w:rtl w:val="0"/>
        </w:rPr>
        <w:t xml:space="preserve"> vs </w:t>
      </w:r>
      <w:r w:rsidDel="00000000" w:rsidR="00000000" w:rsidRPr="00000000">
        <w:rPr>
          <w:rFonts w:ascii="Arial" w:cs="Arial" w:eastAsia="Arial" w:hAnsi="Arial"/>
          <w:sz w:val="24"/>
          <w:szCs w:val="24"/>
          <w:rtl w:val="0"/>
        </w:rPr>
        <w:t xml:space="preserve">reparación integral muy importante para el dia 2</w:t>
      </w:r>
      <w:r w:rsidDel="00000000" w:rsidR="00000000" w:rsidRPr="00000000">
        <w:rPr>
          <w:rFonts w:ascii="Arial" w:cs="Arial" w:eastAsia="Arial" w:hAnsi="Arial"/>
          <w:b w:val="1"/>
          <w:bCs w:val="1"/>
          <w:sz w:val="24"/>
          <w:szCs w:val="24"/>
          <w:rtl w:val="0"/>
        </w:rPr>
        <w:t xml:space="preserve"> </w:t>
      </w:r>
      <w:hyperlink r:id="rId14">
        <w:r w:rsidDel="00000000" w:rsidR="00000000" w:rsidRPr="00000000">
          <w:rPr>
            <w:rFonts w:ascii="Arial" w:cs="Arial" w:eastAsia="Arial" w:hAnsi="Arial"/>
            <w:color w:val="1155cc"/>
            <w:sz w:val="24"/>
            <w:szCs w:val="24"/>
            <w:u w:val="single"/>
            <w:rtl w:val="0"/>
          </w:rPr>
          <w:t xml:space="preserve">https://centrodememoriahistorica.gov.co/descargas/informes2009/informe_la_masacre_de_el_salado.pdf?utm_source</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Spectral" w:cs="Spectral" w:eastAsia="Spectral" w:hAnsi="Spectral"/>
          <w:sz w:val="24"/>
          <w:szCs w:val="24"/>
        </w:rPr>
      </w:pPr>
      <w:hyperlink r:id="rId15">
        <w:r w:rsidDel="00000000" w:rsidR="00000000" w:rsidRPr="00000000">
          <w:rPr>
            <w:rFonts w:ascii="Arial" w:cs="Arial" w:eastAsia="Arial" w:hAnsi="Arial"/>
            <w:i w:val="1"/>
            <w:iCs w:val="1"/>
            <w:color w:val="1155cc"/>
            <w:sz w:val="24"/>
            <w:szCs w:val="24"/>
            <w:u w:val="single"/>
            <w:shd w:fill="a4c2f4" w:val="clear"/>
            <w:rtl w:val="0"/>
          </w:rPr>
          <w:t xml:space="preserve">https://www.unidadvictimas.gov.co/reparacion-integral-individual/</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rFonts w:ascii="Arial" w:cs="Arial" w:eastAsia="Arial" w:hAnsi="Arial"/>
          <w:i w:val="1"/>
          <w:iCs w:val="1"/>
          <w:sz w:val="24"/>
          <w:szCs w:val="24"/>
          <w:shd w:fill="a4c2f4" w:val="clear"/>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rFonts w:ascii="Arial" w:cs="Arial" w:eastAsia="Arial" w:hAnsi="Arial"/>
          <w:i w:val="1"/>
          <w:iCs w:val="1"/>
          <w:sz w:val="24"/>
          <w:szCs w:val="24"/>
          <w:shd w:fill="a4c2f4" w:val="clear"/>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rFonts w:ascii="Arial" w:cs="Arial" w:eastAsia="Arial" w:hAnsi="Arial"/>
          <w:i w:val="1"/>
          <w:iCs w:val="1"/>
          <w:sz w:val="24"/>
          <w:szCs w:val="24"/>
          <w:shd w:fill="a4c2f4" w:val="clear"/>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rFonts w:ascii="Arial" w:cs="Arial" w:eastAsia="Arial" w:hAnsi="Arial"/>
          <w:i w:val="1"/>
          <w:iCs w:val="1"/>
          <w:sz w:val="24"/>
          <w:szCs w:val="24"/>
          <w:shd w:fill="a4c2f4" w:val="clear"/>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rFonts w:ascii="Arial" w:cs="Arial" w:eastAsia="Arial" w:hAnsi="Arial"/>
          <w:i w:val="1"/>
          <w:iCs w:val="1"/>
          <w:sz w:val="24"/>
          <w:szCs w:val="24"/>
          <w:shd w:fill="a4c2f4" w:val="clear"/>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rFonts w:ascii="Arial" w:cs="Arial" w:eastAsia="Arial" w:hAnsi="Arial"/>
          <w:i w:val="1"/>
          <w:iCs w:val="1"/>
          <w:sz w:val="24"/>
          <w:szCs w:val="24"/>
          <w:shd w:fill="a4c2f4" w:val="clear"/>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rFonts w:ascii="Arial" w:cs="Arial" w:eastAsia="Arial" w:hAnsi="Arial"/>
          <w:i w:val="1"/>
          <w:iCs w:val="1"/>
          <w:sz w:val="24"/>
          <w:szCs w:val="24"/>
          <w:shd w:fill="a4c2f4" w:val="clear"/>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rFonts w:ascii="Arial" w:cs="Arial" w:eastAsia="Arial" w:hAnsi="Arial"/>
          <w:i w:val="1"/>
          <w:iCs w:val="1"/>
          <w:sz w:val="24"/>
          <w:szCs w:val="24"/>
          <w:shd w:fill="a4c2f4" w:val="clear"/>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rFonts w:ascii="Arial" w:cs="Arial" w:eastAsia="Arial" w:hAnsi="Arial"/>
          <w:i w:val="1"/>
          <w:iCs w:val="1"/>
          <w:sz w:val="24"/>
          <w:szCs w:val="24"/>
          <w:shd w:fill="a4c2f4" w:val="clear"/>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rFonts w:ascii="Arial" w:cs="Arial" w:eastAsia="Arial" w:hAnsi="Arial"/>
          <w:i w:val="1"/>
          <w:iCs w:val="1"/>
          <w:sz w:val="24"/>
          <w:szCs w:val="24"/>
          <w:shd w:fill="a4c2f4" w:val="clear"/>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rFonts w:ascii="Arial" w:cs="Arial" w:eastAsia="Arial" w:hAnsi="Arial"/>
          <w:i w:val="1"/>
          <w:iCs w:val="1"/>
          <w:sz w:val="24"/>
          <w:szCs w:val="24"/>
          <w:shd w:fill="a4c2f4" w:val="clear"/>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rFonts w:ascii="Arial" w:cs="Arial" w:eastAsia="Arial" w:hAnsi="Arial"/>
          <w:i w:val="1"/>
          <w:iCs w:val="1"/>
          <w:sz w:val="24"/>
          <w:szCs w:val="24"/>
          <w:shd w:fill="a4c2f4" w:val="clear"/>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rFonts w:ascii="Arial" w:cs="Arial" w:eastAsia="Arial" w:hAnsi="Arial"/>
          <w:i w:val="1"/>
          <w:iCs w:val="1"/>
          <w:sz w:val="24"/>
          <w:szCs w:val="24"/>
          <w:shd w:fill="a4c2f4" w:val="clear"/>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rFonts w:ascii="Arial" w:cs="Arial" w:eastAsia="Arial" w:hAnsi="Arial"/>
          <w:i w:val="1"/>
          <w:iCs w:val="1"/>
          <w:sz w:val="24"/>
          <w:szCs w:val="24"/>
          <w:shd w:fill="a4c2f4" w:val="clear"/>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rFonts w:ascii="Arial" w:cs="Arial" w:eastAsia="Arial" w:hAnsi="Arial"/>
          <w:i w:val="1"/>
          <w:iCs w:val="1"/>
          <w:sz w:val="24"/>
          <w:szCs w:val="24"/>
          <w:shd w:fill="a4c2f4" w:val="clear"/>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rFonts w:ascii="Arial" w:cs="Arial" w:eastAsia="Arial" w:hAnsi="Arial"/>
          <w:i w:val="1"/>
          <w:iCs w:val="1"/>
          <w:sz w:val="24"/>
          <w:szCs w:val="24"/>
          <w:shd w:fill="a4c2f4" w:val="clear"/>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rFonts w:ascii="Arial" w:cs="Arial" w:eastAsia="Arial" w:hAnsi="Arial"/>
          <w:i w:val="1"/>
          <w:iCs w:val="1"/>
          <w:sz w:val="24"/>
          <w:szCs w:val="24"/>
          <w:shd w:fill="a4c2f4" w:val="clear"/>
        </w:rPr>
      </w:pPr>
      <w:r w:rsidDel="00000000" w:rsidR="00000000" w:rsidRPr="00000000">
        <w:rPr>
          <w:rtl w:val="0"/>
        </w:rPr>
      </w:r>
    </w:p>
    <w:p w:rsidR="00000000" w:rsidDel="00000000" w:rsidP="00000000" w:rsidRDefault="00000000" w:rsidRPr="00000000" w14:paraId="0000006B">
      <w:pPr>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6C">
      <w:pPr>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GLOSARIO:</w:t>
      </w:r>
      <w:r w:rsidDel="00000000" w:rsidR="00000000" w:rsidRPr="00000000">
        <w:rPr>
          <w:rtl w:val="0"/>
        </w:rPr>
      </w:r>
    </w:p>
    <w:p w:rsidR="00000000" w:rsidDel="00000000" w:rsidP="00000000" w:rsidRDefault="00000000" w:rsidRPr="00000000" w14:paraId="0000006D">
      <w:pPr>
        <w:numPr>
          <w:ilvl w:val="0"/>
          <w:numId w:val="6"/>
        </w:numPr>
        <w:spacing w:after="0" w:line="276" w:lineRule="auto"/>
        <w:ind w:left="720" w:hanging="360"/>
        <w:rPr>
          <w:rFonts w:ascii="Spectral" w:cs="Spectral" w:eastAsia="Spectral" w:hAnsi="Spectral"/>
          <w:i w:val="1"/>
          <w:iCs w:val="1"/>
          <w:sz w:val="24"/>
          <w:szCs w:val="24"/>
        </w:rPr>
      </w:pPr>
      <w:r w:rsidDel="00000000" w:rsidR="00000000" w:rsidRPr="00000000">
        <w:rPr>
          <w:rFonts w:ascii="Arial" w:cs="Arial" w:eastAsia="Arial" w:hAnsi="Arial"/>
          <w:b w:val="1"/>
          <w:bCs w:val="1"/>
          <w:i w:val="1"/>
          <w:iCs w:val="1"/>
          <w:sz w:val="24"/>
          <w:szCs w:val="24"/>
          <w:rtl w:val="0"/>
        </w:rPr>
        <w:t xml:space="preserve">Actores armados:</w:t>
      </w:r>
      <w:r w:rsidDel="00000000" w:rsidR="00000000" w:rsidRPr="00000000">
        <w:rPr>
          <w:rFonts w:ascii="Arial" w:cs="Arial" w:eastAsia="Arial" w:hAnsi="Arial"/>
          <w:i w:val="1"/>
          <w:iCs w:val="1"/>
          <w:sz w:val="24"/>
          <w:szCs w:val="24"/>
          <w:rtl w:val="0"/>
        </w:rPr>
        <w:t xml:space="preserve"> Grupos organizados que usan armas y controlan zonas en medio del conflicto, afectando la vida diaria de la gente.</w:t>
      </w:r>
    </w:p>
    <w:p w:rsidR="00000000" w:rsidDel="00000000" w:rsidP="00000000" w:rsidRDefault="00000000" w:rsidRPr="00000000" w14:paraId="0000006E">
      <w:pPr>
        <w:numPr>
          <w:ilvl w:val="0"/>
          <w:numId w:val="6"/>
        </w:numPr>
        <w:spacing w:after="0" w:line="276" w:lineRule="auto"/>
        <w:ind w:left="720" w:hanging="360"/>
        <w:rPr>
          <w:rFonts w:ascii="Spectral" w:cs="Spectral" w:eastAsia="Spectral" w:hAnsi="Spectral"/>
          <w:i w:val="1"/>
          <w:iCs w:val="1"/>
          <w:sz w:val="24"/>
          <w:szCs w:val="24"/>
        </w:rPr>
      </w:pPr>
      <w:r w:rsidDel="00000000" w:rsidR="00000000" w:rsidRPr="00000000">
        <w:rPr>
          <w:rFonts w:ascii="Arial" w:cs="Arial" w:eastAsia="Arial" w:hAnsi="Arial"/>
          <w:b w:val="1"/>
          <w:bCs w:val="1"/>
          <w:i w:val="1"/>
          <w:iCs w:val="1"/>
          <w:sz w:val="24"/>
          <w:szCs w:val="24"/>
          <w:rtl w:val="0"/>
        </w:rPr>
        <w:t xml:space="preserve">Alertas tempranas:</w:t>
      </w:r>
      <w:r w:rsidDel="00000000" w:rsidR="00000000" w:rsidRPr="00000000">
        <w:rPr>
          <w:rFonts w:ascii="Arial" w:cs="Arial" w:eastAsia="Arial" w:hAnsi="Arial"/>
          <w:i w:val="1"/>
          <w:iCs w:val="1"/>
          <w:sz w:val="24"/>
          <w:szCs w:val="24"/>
          <w:rtl w:val="0"/>
        </w:rPr>
        <w:t xml:space="preserve"> Avisos o señales de riesgo que sirven para prevenir hechos violentos si las autoridades actúan a tiempo.</w:t>
      </w:r>
    </w:p>
    <w:p w:rsidR="00000000" w:rsidDel="00000000" w:rsidP="00000000" w:rsidRDefault="00000000" w:rsidRPr="00000000" w14:paraId="0000006F">
      <w:pPr>
        <w:numPr>
          <w:ilvl w:val="0"/>
          <w:numId w:val="6"/>
        </w:numPr>
        <w:spacing w:after="0" w:line="276" w:lineRule="auto"/>
        <w:ind w:left="720" w:hanging="360"/>
        <w:rPr>
          <w:rFonts w:ascii="Spectral" w:cs="Spectral" w:eastAsia="Spectral" w:hAnsi="Spectral"/>
          <w:i w:val="1"/>
          <w:iCs w:val="1"/>
          <w:sz w:val="24"/>
          <w:szCs w:val="24"/>
        </w:rPr>
      </w:pPr>
      <w:r w:rsidDel="00000000" w:rsidR="00000000" w:rsidRPr="00000000">
        <w:rPr>
          <w:rFonts w:ascii="Arial" w:cs="Arial" w:eastAsia="Arial" w:hAnsi="Arial"/>
          <w:b w:val="1"/>
          <w:bCs w:val="1"/>
          <w:i w:val="1"/>
          <w:iCs w:val="1"/>
          <w:sz w:val="24"/>
          <w:szCs w:val="24"/>
          <w:rtl w:val="0"/>
        </w:rPr>
        <w:t xml:space="preserve">Conflicto armado interno:</w:t>
      </w:r>
      <w:r w:rsidDel="00000000" w:rsidR="00000000" w:rsidRPr="00000000">
        <w:rPr>
          <w:rFonts w:ascii="Arial" w:cs="Arial" w:eastAsia="Arial" w:hAnsi="Arial"/>
          <w:i w:val="1"/>
          <w:iCs w:val="1"/>
          <w:sz w:val="24"/>
          <w:szCs w:val="24"/>
          <w:rtl w:val="0"/>
        </w:rPr>
        <w:t xml:space="preserve"> Violencia prolongada dentro del país entre el Estado y grupos armados, que termina golpeando a comunidades enteras.</w:t>
      </w:r>
    </w:p>
    <w:p w:rsidR="00000000" w:rsidDel="00000000" w:rsidP="00000000" w:rsidRDefault="00000000" w:rsidRPr="00000000" w14:paraId="00000070">
      <w:pPr>
        <w:numPr>
          <w:ilvl w:val="0"/>
          <w:numId w:val="6"/>
        </w:numPr>
        <w:spacing w:after="0" w:line="276" w:lineRule="auto"/>
        <w:ind w:left="720" w:hanging="360"/>
        <w:rPr>
          <w:rFonts w:ascii="Spectral" w:cs="Spectral" w:eastAsia="Spectral" w:hAnsi="Spectral"/>
          <w:i w:val="1"/>
          <w:iCs w:val="1"/>
          <w:sz w:val="24"/>
          <w:szCs w:val="24"/>
        </w:rPr>
      </w:pPr>
      <w:r w:rsidDel="00000000" w:rsidR="00000000" w:rsidRPr="00000000">
        <w:rPr>
          <w:rFonts w:ascii="Arial" w:cs="Arial" w:eastAsia="Arial" w:hAnsi="Arial"/>
          <w:b w:val="1"/>
          <w:bCs w:val="1"/>
          <w:i w:val="1"/>
          <w:iCs w:val="1"/>
          <w:sz w:val="24"/>
          <w:szCs w:val="24"/>
          <w:rtl w:val="0"/>
        </w:rPr>
        <w:t xml:space="preserve">Control territorial:</w:t>
      </w:r>
      <w:r w:rsidDel="00000000" w:rsidR="00000000" w:rsidRPr="00000000">
        <w:rPr>
          <w:rFonts w:ascii="Arial" w:cs="Arial" w:eastAsia="Arial" w:hAnsi="Arial"/>
          <w:i w:val="1"/>
          <w:iCs w:val="1"/>
          <w:sz w:val="24"/>
          <w:szCs w:val="24"/>
          <w:rtl w:val="0"/>
        </w:rPr>
        <w:t xml:space="preserve"> Lucha por dominar un lugar (rutas, economía, población) para imponer poder y decidir “quién manda”.</w:t>
      </w:r>
    </w:p>
    <w:p w:rsidR="00000000" w:rsidDel="00000000" w:rsidP="00000000" w:rsidRDefault="00000000" w:rsidRPr="00000000" w14:paraId="00000071">
      <w:pPr>
        <w:numPr>
          <w:ilvl w:val="0"/>
          <w:numId w:val="6"/>
        </w:numPr>
        <w:spacing w:after="0" w:line="276" w:lineRule="auto"/>
        <w:ind w:left="720" w:hanging="360"/>
        <w:rPr>
          <w:rFonts w:ascii="Spectral" w:cs="Spectral" w:eastAsia="Spectral" w:hAnsi="Spectral"/>
          <w:i w:val="1"/>
          <w:iCs w:val="1"/>
          <w:sz w:val="24"/>
          <w:szCs w:val="24"/>
        </w:rPr>
      </w:pPr>
      <w:r w:rsidDel="00000000" w:rsidR="00000000" w:rsidRPr="00000000">
        <w:rPr>
          <w:rFonts w:ascii="Arial" w:cs="Arial" w:eastAsia="Arial" w:hAnsi="Arial"/>
          <w:b w:val="1"/>
          <w:bCs w:val="1"/>
          <w:i w:val="1"/>
          <w:iCs w:val="1"/>
          <w:sz w:val="24"/>
          <w:szCs w:val="24"/>
          <w:rtl w:val="0"/>
        </w:rPr>
        <w:t xml:space="preserve">Desplazamiento forzado:</w:t>
      </w:r>
      <w:r w:rsidDel="00000000" w:rsidR="00000000" w:rsidRPr="00000000">
        <w:rPr>
          <w:rFonts w:ascii="Arial" w:cs="Arial" w:eastAsia="Arial" w:hAnsi="Arial"/>
          <w:i w:val="1"/>
          <w:iCs w:val="1"/>
          <w:sz w:val="24"/>
          <w:szCs w:val="24"/>
          <w:rtl w:val="0"/>
        </w:rPr>
        <w:t xml:space="preserve"> Cuando una familia tiene que irse por amenazas o miedo, dejando casa, trabajo y su vida atrás.</w:t>
      </w:r>
    </w:p>
    <w:p w:rsidR="00000000" w:rsidDel="00000000" w:rsidP="00000000" w:rsidRDefault="00000000" w:rsidRPr="00000000" w14:paraId="00000072">
      <w:pPr>
        <w:numPr>
          <w:ilvl w:val="0"/>
          <w:numId w:val="6"/>
        </w:numPr>
        <w:spacing w:after="0" w:line="276" w:lineRule="auto"/>
        <w:ind w:left="720" w:hanging="360"/>
        <w:rPr>
          <w:rFonts w:ascii="Spectral" w:cs="Spectral" w:eastAsia="Spectral" w:hAnsi="Spectral"/>
          <w:i w:val="1"/>
          <w:iCs w:val="1"/>
          <w:sz w:val="24"/>
          <w:szCs w:val="24"/>
        </w:rPr>
      </w:pPr>
      <w:r w:rsidDel="00000000" w:rsidR="00000000" w:rsidRPr="00000000">
        <w:rPr>
          <w:rFonts w:ascii="Arial" w:cs="Arial" w:eastAsia="Arial" w:hAnsi="Arial"/>
          <w:b w:val="1"/>
          <w:bCs w:val="1"/>
          <w:i w:val="1"/>
          <w:iCs w:val="1"/>
          <w:sz w:val="24"/>
          <w:szCs w:val="24"/>
          <w:rtl w:val="0"/>
        </w:rPr>
        <w:t xml:space="preserve">Enfoque de género:</w:t>
      </w:r>
      <w:r w:rsidDel="00000000" w:rsidR="00000000" w:rsidRPr="00000000">
        <w:rPr>
          <w:rFonts w:ascii="Arial" w:cs="Arial" w:eastAsia="Arial" w:hAnsi="Arial"/>
          <w:i w:val="1"/>
          <w:iCs w:val="1"/>
          <w:sz w:val="24"/>
          <w:szCs w:val="24"/>
          <w:rtl w:val="0"/>
        </w:rPr>
        <w:t xml:space="preserve"> Mirar el problema entendiendo que mujeres y niñas suelen vivir riesgos distintos y más barreras para recibir ayuda.</w:t>
      </w:r>
    </w:p>
    <w:p w:rsidR="00000000" w:rsidDel="00000000" w:rsidP="00000000" w:rsidRDefault="00000000" w:rsidRPr="00000000" w14:paraId="00000073">
      <w:pPr>
        <w:numPr>
          <w:ilvl w:val="0"/>
          <w:numId w:val="6"/>
        </w:numPr>
        <w:spacing w:after="0" w:line="276" w:lineRule="auto"/>
        <w:ind w:left="720" w:hanging="360"/>
        <w:rPr>
          <w:rFonts w:ascii="Spectral" w:cs="Spectral" w:eastAsia="Spectral" w:hAnsi="Spectral"/>
          <w:i w:val="1"/>
          <w:iCs w:val="1"/>
          <w:sz w:val="24"/>
          <w:szCs w:val="24"/>
        </w:rPr>
      </w:pPr>
      <w:r w:rsidDel="00000000" w:rsidR="00000000" w:rsidRPr="00000000">
        <w:rPr>
          <w:rFonts w:ascii="Arial" w:cs="Arial" w:eastAsia="Arial" w:hAnsi="Arial"/>
          <w:b w:val="1"/>
          <w:bCs w:val="1"/>
          <w:i w:val="1"/>
          <w:iCs w:val="1"/>
          <w:sz w:val="24"/>
          <w:szCs w:val="24"/>
          <w:rtl w:val="0"/>
        </w:rPr>
        <w:t xml:space="preserve">Garantías de no repetición:</w:t>
      </w:r>
      <w:r w:rsidDel="00000000" w:rsidR="00000000" w:rsidRPr="00000000">
        <w:rPr>
          <w:rFonts w:ascii="Arial" w:cs="Arial" w:eastAsia="Arial" w:hAnsi="Arial"/>
          <w:i w:val="1"/>
          <w:iCs w:val="1"/>
          <w:sz w:val="24"/>
          <w:szCs w:val="24"/>
          <w:rtl w:val="0"/>
        </w:rPr>
        <w:t xml:space="preserve"> Medidas reales para que lo ocurrido no vuelva a pasar: protección, justicia, presencia estatal y prevención.</w:t>
      </w:r>
    </w:p>
    <w:p w:rsidR="00000000" w:rsidDel="00000000" w:rsidP="00000000" w:rsidRDefault="00000000" w:rsidRPr="00000000" w14:paraId="00000074">
      <w:pPr>
        <w:numPr>
          <w:ilvl w:val="0"/>
          <w:numId w:val="6"/>
        </w:numPr>
        <w:spacing w:after="0" w:line="276" w:lineRule="auto"/>
        <w:ind w:left="720" w:hanging="360"/>
        <w:rPr>
          <w:rFonts w:ascii="Spectral" w:cs="Spectral" w:eastAsia="Spectral" w:hAnsi="Spectral"/>
          <w:i w:val="1"/>
          <w:iCs w:val="1"/>
          <w:sz w:val="24"/>
          <w:szCs w:val="24"/>
        </w:rPr>
      </w:pPr>
      <w:r w:rsidDel="00000000" w:rsidR="00000000" w:rsidRPr="00000000">
        <w:rPr>
          <w:rFonts w:ascii="Arial" w:cs="Arial" w:eastAsia="Arial" w:hAnsi="Arial"/>
          <w:b w:val="1"/>
          <w:bCs w:val="1"/>
          <w:i w:val="1"/>
          <w:iCs w:val="1"/>
          <w:sz w:val="24"/>
          <w:szCs w:val="24"/>
          <w:rtl w:val="0"/>
        </w:rPr>
        <w:t xml:space="preserve">Impunidad:</w:t>
      </w:r>
      <w:r w:rsidDel="00000000" w:rsidR="00000000" w:rsidRPr="00000000">
        <w:rPr>
          <w:rFonts w:ascii="Arial" w:cs="Arial" w:eastAsia="Arial" w:hAnsi="Arial"/>
          <w:i w:val="1"/>
          <w:iCs w:val="1"/>
          <w:sz w:val="24"/>
          <w:szCs w:val="24"/>
          <w:rtl w:val="0"/>
        </w:rPr>
        <w:t xml:space="preserve"> Cuando un delito no se investiga bien o no se castiga, y eso hace que el daño quede “sin respuesta”.</w:t>
      </w:r>
    </w:p>
    <w:p w:rsidR="00000000" w:rsidDel="00000000" w:rsidP="00000000" w:rsidRDefault="00000000" w:rsidRPr="00000000" w14:paraId="00000075">
      <w:pPr>
        <w:numPr>
          <w:ilvl w:val="0"/>
          <w:numId w:val="6"/>
        </w:numPr>
        <w:spacing w:after="0" w:line="276" w:lineRule="auto"/>
        <w:ind w:left="720" w:hanging="360"/>
        <w:rPr>
          <w:rFonts w:ascii="Spectral" w:cs="Spectral" w:eastAsia="Spectral" w:hAnsi="Spectral"/>
          <w:i w:val="1"/>
          <w:iCs w:val="1"/>
          <w:sz w:val="24"/>
          <w:szCs w:val="24"/>
        </w:rPr>
      </w:pPr>
      <w:r w:rsidDel="00000000" w:rsidR="00000000" w:rsidRPr="00000000">
        <w:rPr>
          <w:rFonts w:ascii="Arial" w:cs="Arial" w:eastAsia="Arial" w:hAnsi="Arial"/>
          <w:b w:val="1"/>
          <w:bCs w:val="1"/>
          <w:i w:val="1"/>
          <w:iCs w:val="1"/>
          <w:sz w:val="24"/>
          <w:szCs w:val="24"/>
          <w:rtl w:val="0"/>
        </w:rPr>
        <w:t xml:space="preserve">Justicia transicional:</w:t>
      </w:r>
      <w:r w:rsidDel="00000000" w:rsidR="00000000" w:rsidRPr="00000000">
        <w:rPr>
          <w:rFonts w:ascii="Arial" w:cs="Arial" w:eastAsia="Arial" w:hAnsi="Arial"/>
          <w:i w:val="1"/>
          <w:iCs w:val="1"/>
          <w:sz w:val="24"/>
          <w:szCs w:val="24"/>
          <w:rtl w:val="0"/>
        </w:rPr>
        <w:t xml:space="preserve"> Formas especiales de justicia para casos del conflicto: buscar verdad, responsabilidades y reparación sin repetir la guerra.</w:t>
      </w:r>
    </w:p>
    <w:p w:rsidR="00000000" w:rsidDel="00000000" w:rsidP="00000000" w:rsidRDefault="00000000" w:rsidRPr="00000000" w14:paraId="00000076">
      <w:pPr>
        <w:numPr>
          <w:ilvl w:val="0"/>
          <w:numId w:val="6"/>
        </w:numPr>
        <w:spacing w:after="0" w:line="276" w:lineRule="auto"/>
        <w:ind w:left="720" w:hanging="360"/>
        <w:rPr>
          <w:rFonts w:ascii="Spectral" w:cs="Spectral" w:eastAsia="Spectral" w:hAnsi="Spectral"/>
          <w:i w:val="1"/>
          <w:iCs w:val="1"/>
          <w:sz w:val="24"/>
          <w:szCs w:val="24"/>
        </w:rPr>
      </w:pPr>
      <w:r w:rsidDel="00000000" w:rsidR="00000000" w:rsidRPr="00000000">
        <w:rPr>
          <w:rFonts w:ascii="Arial" w:cs="Arial" w:eastAsia="Arial" w:hAnsi="Arial"/>
          <w:b w:val="1"/>
          <w:bCs w:val="1"/>
          <w:i w:val="1"/>
          <w:iCs w:val="1"/>
          <w:sz w:val="24"/>
          <w:szCs w:val="24"/>
          <w:rtl w:val="0"/>
        </w:rPr>
        <w:t xml:space="preserve">Masacre:</w:t>
      </w:r>
      <w:r w:rsidDel="00000000" w:rsidR="00000000" w:rsidRPr="00000000">
        <w:rPr>
          <w:rFonts w:ascii="Arial" w:cs="Arial" w:eastAsia="Arial" w:hAnsi="Arial"/>
          <w:i w:val="1"/>
          <w:iCs w:val="1"/>
          <w:sz w:val="24"/>
          <w:szCs w:val="24"/>
          <w:rtl w:val="0"/>
        </w:rPr>
        <w:t xml:space="preserve"> Ataque con varias muertes en un mismo hecho o periodo corto, que deja terror y ruptura en la comunidad.</w:t>
      </w:r>
    </w:p>
    <w:p w:rsidR="00000000" w:rsidDel="00000000" w:rsidP="00000000" w:rsidRDefault="00000000" w:rsidRPr="00000000" w14:paraId="00000077">
      <w:pPr>
        <w:numPr>
          <w:ilvl w:val="0"/>
          <w:numId w:val="6"/>
        </w:numPr>
        <w:spacing w:after="0" w:line="276" w:lineRule="auto"/>
        <w:ind w:left="720" w:hanging="360"/>
        <w:rPr>
          <w:rFonts w:ascii="Spectral" w:cs="Spectral" w:eastAsia="Spectral" w:hAnsi="Spectral"/>
          <w:i w:val="1"/>
          <w:iCs w:val="1"/>
          <w:sz w:val="24"/>
          <w:szCs w:val="24"/>
        </w:rPr>
      </w:pPr>
      <w:r w:rsidDel="00000000" w:rsidR="00000000" w:rsidRPr="00000000">
        <w:rPr>
          <w:rFonts w:ascii="Arial" w:cs="Arial" w:eastAsia="Arial" w:hAnsi="Arial"/>
          <w:b w:val="1"/>
          <w:bCs w:val="1"/>
          <w:i w:val="1"/>
          <w:iCs w:val="1"/>
          <w:sz w:val="24"/>
          <w:szCs w:val="24"/>
          <w:rtl w:val="0"/>
        </w:rPr>
        <w:t xml:space="preserve">Memoria histórica:</w:t>
      </w:r>
      <w:r w:rsidDel="00000000" w:rsidR="00000000" w:rsidRPr="00000000">
        <w:rPr>
          <w:rFonts w:ascii="Arial" w:cs="Arial" w:eastAsia="Arial" w:hAnsi="Arial"/>
          <w:i w:val="1"/>
          <w:iCs w:val="1"/>
          <w:sz w:val="24"/>
          <w:szCs w:val="24"/>
          <w:rtl w:val="0"/>
        </w:rPr>
        <w:t xml:space="preserve"> Recordar y documentar lo sucedido para reconocer a las víctimas y aprender del pasado sin revictimizar.</w:t>
      </w:r>
    </w:p>
    <w:p w:rsidR="00000000" w:rsidDel="00000000" w:rsidP="00000000" w:rsidRDefault="00000000" w:rsidRPr="00000000" w14:paraId="00000078">
      <w:pPr>
        <w:numPr>
          <w:ilvl w:val="0"/>
          <w:numId w:val="6"/>
        </w:numPr>
        <w:spacing w:after="0" w:line="276" w:lineRule="auto"/>
        <w:ind w:left="720" w:hanging="360"/>
        <w:rPr>
          <w:rFonts w:ascii="Spectral" w:cs="Spectral" w:eastAsia="Spectral" w:hAnsi="Spectral"/>
          <w:i w:val="1"/>
          <w:iCs w:val="1"/>
          <w:sz w:val="24"/>
          <w:szCs w:val="24"/>
        </w:rPr>
      </w:pPr>
      <w:r w:rsidDel="00000000" w:rsidR="00000000" w:rsidRPr="00000000">
        <w:rPr>
          <w:rFonts w:ascii="Arial" w:cs="Arial" w:eastAsia="Arial" w:hAnsi="Arial"/>
          <w:b w:val="1"/>
          <w:bCs w:val="1"/>
          <w:i w:val="1"/>
          <w:iCs w:val="1"/>
          <w:sz w:val="24"/>
          <w:szCs w:val="24"/>
          <w:rtl w:val="0"/>
        </w:rPr>
        <w:t xml:space="preserve">Población civil:</w:t>
      </w:r>
      <w:r w:rsidDel="00000000" w:rsidR="00000000" w:rsidRPr="00000000">
        <w:rPr>
          <w:rFonts w:ascii="Arial" w:cs="Arial" w:eastAsia="Arial" w:hAnsi="Arial"/>
          <w:i w:val="1"/>
          <w:iCs w:val="1"/>
          <w:sz w:val="24"/>
          <w:szCs w:val="24"/>
          <w:rtl w:val="0"/>
        </w:rPr>
        <w:t xml:space="preserve"> Personas que no están combatiendo y que, en teoría, deberían estar protegidas por el Estado y por la ley.</w:t>
      </w:r>
    </w:p>
    <w:p w:rsidR="00000000" w:rsidDel="00000000" w:rsidP="00000000" w:rsidRDefault="00000000" w:rsidRPr="00000000" w14:paraId="00000079">
      <w:pPr>
        <w:numPr>
          <w:ilvl w:val="0"/>
          <w:numId w:val="6"/>
        </w:numPr>
        <w:spacing w:after="0" w:line="276" w:lineRule="auto"/>
        <w:ind w:left="720" w:hanging="360"/>
        <w:rPr>
          <w:rFonts w:ascii="Spectral" w:cs="Spectral" w:eastAsia="Spectral" w:hAnsi="Spectral"/>
          <w:i w:val="1"/>
          <w:iCs w:val="1"/>
          <w:sz w:val="24"/>
          <w:szCs w:val="24"/>
        </w:rPr>
      </w:pPr>
      <w:r w:rsidDel="00000000" w:rsidR="00000000" w:rsidRPr="00000000">
        <w:rPr>
          <w:rFonts w:ascii="Arial" w:cs="Arial" w:eastAsia="Arial" w:hAnsi="Arial"/>
          <w:b w:val="1"/>
          <w:bCs w:val="1"/>
          <w:i w:val="1"/>
          <w:iCs w:val="1"/>
          <w:sz w:val="24"/>
          <w:szCs w:val="24"/>
          <w:rtl w:val="0"/>
        </w:rPr>
        <w:t xml:space="preserve">Reparación integral:</w:t>
      </w:r>
      <w:r w:rsidDel="00000000" w:rsidR="00000000" w:rsidRPr="00000000">
        <w:rPr>
          <w:rFonts w:ascii="Arial" w:cs="Arial" w:eastAsia="Arial" w:hAnsi="Arial"/>
          <w:i w:val="1"/>
          <w:iCs w:val="1"/>
          <w:sz w:val="24"/>
          <w:szCs w:val="24"/>
          <w:rtl w:val="0"/>
        </w:rPr>
        <w:t xml:space="preserve"> Respuesta completa al daño: no solo dinero, también atención, reconocimiento y condiciones para rehacer la vida.</w:t>
      </w:r>
    </w:p>
    <w:p w:rsidR="00000000" w:rsidDel="00000000" w:rsidP="00000000" w:rsidRDefault="00000000" w:rsidRPr="00000000" w14:paraId="0000007A">
      <w:pPr>
        <w:numPr>
          <w:ilvl w:val="0"/>
          <w:numId w:val="6"/>
        </w:numPr>
        <w:spacing w:after="0" w:line="276" w:lineRule="auto"/>
        <w:ind w:left="720" w:hanging="360"/>
        <w:rPr>
          <w:rFonts w:ascii="Spectral" w:cs="Spectral" w:eastAsia="Spectral" w:hAnsi="Spectral"/>
          <w:i w:val="1"/>
          <w:iCs w:val="1"/>
          <w:sz w:val="24"/>
          <w:szCs w:val="24"/>
        </w:rPr>
      </w:pPr>
      <w:r w:rsidDel="00000000" w:rsidR="00000000" w:rsidRPr="00000000">
        <w:rPr>
          <w:rFonts w:ascii="Arial" w:cs="Arial" w:eastAsia="Arial" w:hAnsi="Arial"/>
          <w:b w:val="1"/>
          <w:bCs w:val="1"/>
          <w:i w:val="1"/>
          <w:iCs w:val="1"/>
          <w:sz w:val="24"/>
          <w:szCs w:val="24"/>
          <w:rtl w:val="0"/>
        </w:rPr>
        <w:t xml:space="preserve">Tejido social:</w:t>
      </w:r>
      <w:r w:rsidDel="00000000" w:rsidR="00000000" w:rsidRPr="00000000">
        <w:rPr>
          <w:rFonts w:ascii="Arial" w:cs="Arial" w:eastAsia="Arial" w:hAnsi="Arial"/>
          <w:i w:val="1"/>
          <w:iCs w:val="1"/>
          <w:sz w:val="24"/>
          <w:szCs w:val="24"/>
          <w:rtl w:val="0"/>
        </w:rPr>
        <w:t xml:space="preserve"> La confianza y unión entre vecinos, familias y comunidad; se rompe con la violencia y cuesta mucho reconstruirlo.</w:t>
      </w:r>
    </w:p>
    <w:p w:rsidR="00000000" w:rsidDel="00000000" w:rsidP="00000000" w:rsidRDefault="00000000" w:rsidRPr="00000000" w14:paraId="0000007B">
      <w:pPr>
        <w:numPr>
          <w:ilvl w:val="0"/>
          <w:numId w:val="6"/>
        </w:numPr>
        <w:spacing w:after="0" w:line="276" w:lineRule="auto"/>
        <w:ind w:left="720" w:hanging="360"/>
        <w:rPr>
          <w:rFonts w:ascii="Spectral" w:cs="Spectral" w:eastAsia="Spectral" w:hAnsi="Spectral"/>
          <w:i w:val="1"/>
          <w:iCs w:val="1"/>
          <w:sz w:val="24"/>
          <w:szCs w:val="24"/>
        </w:rPr>
      </w:pPr>
      <w:r w:rsidDel="00000000" w:rsidR="00000000" w:rsidRPr="00000000">
        <w:rPr>
          <w:rFonts w:ascii="Arial" w:cs="Arial" w:eastAsia="Arial" w:hAnsi="Arial"/>
          <w:b w:val="1"/>
          <w:bCs w:val="1"/>
          <w:i w:val="1"/>
          <w:iCs w:val="1"/>
          <w:sz w:val="24"/>
          <w:szCs w:val="24"/>
          <w:rtl w:val="0"/>
        </w:rPr>
        <w:t xml:space="preserve">Violencia basada en género:</w:t>
      </w:r>
      <w:r w:rsidDel="00000000" w:rsidR="00000000" w:rsidRPr="00000000">
        <w:rPr>
          <w:rFonts w:ascii="Arial" w:cs="Arial" w:eastAsia="Arial" w:hAnsi="Arial"/>
          <w:i w:val="1"/>
          <w:iCs w:val="1"/>
          <w:sz w:val="24"/>
          <w:szCs w:val="24"/>
          <w:rtl w:val="0"/>
        </w:rPr>
        <w:t xml:space="preserve"> Violencias que afectan especialmente a mujeres y niñas por ser mujeres, y que muchas veces se quedan en silencio.</w:t>
      </w:r>
      <w:r w:rsidDel="00000000" w:rsidR="00000000" w:rsidRPr="00000000">
        <w:rPr>
          <w:rtl w:val="0"/>
        </w:rPr>
      </w:r>
    </w:p>
    <w:p w:rsidR="00000000" w:rsidDel="00000000" w:rsidP="00000000" w:rsidRDefault="00000000" w:rsidRPr="00000000" w14:paraId="0000007C">
      <w:pPr>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DELEGACIONES PARTICIPANTES:</w:t>
      </w:r>
    </w:p>
    <w:p w:rsidR="00000000" w:rsidDel="00000000" w:rsidP="00000000" w:rsidRDefault="00000000" w:rsidRPr="00000000" w14:paraId="0000007D">
      <w:pPr>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Pedro Arnulfo Sánchez Suárez (Ministro de defensa)</w:t>
      </w:r>
    </w:p>
    <w:p w:rsidR="00000000" w:rsidDel="00000000" w:rsidP="00000000" w:rsidRDefault="00000000" w:rsidRPr="00000000" w14:paraId="0000007E">
      <w:pPr>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Hugo Alejandro López Barreto (Comandante General de las fuerzas militares)</w:t>
      </w:r>
    </w:p>
    <w:p w:rsidR="00000000" w:rsidDel="00000000" w:rsidP="00000000" w:rsidRDefault="00000000" w:rsidRPr="00000000" w14:paraId="0000007F">
      <w:pPr>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Luz Adriana Camargo Garzón (Fiscal general)</w:t>
      </w:r>
    </w:p>
    <w:p w:rsidR="00000000" w:rsidDel="00000000" w:rsidP="00000000" w:rsidRDefault="00000000" w:rsidRPr="00000000" w14:paraId="00000080">
      <w:pPr>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Iris Marín Ortiz (Defensora del Pueblo)</w:t>
      </w:r>
    </w:p>
    <w:p w:rsidR="00000000" w:rsidDel="00000000" w:rsidP="00000000" w:rsidRDefault="00000000" w:rsidRPr="00000000" w14:paraId="00000081">
      <w:pPr>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Alix Dunieka Aguilar Tirado (Directora general de unidad para víctimas)</w:t>
      </w:r>
    </w:p>
    <w:p w:rsidR="00000000" w:rsidDel="00000000" w:rsidP="00000000" w:rsidRDefault="00000000" w:rsidRPr="00000000" w14:paraId="00000082">
      <w:pPr>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John Henao (comandante de la incursión paramilitar)</w:t>
      </w:r>
    </w:p>
    <w:p w:rsidR="00000000" w:rsidDel="00000000" w:rsidP="00000000" w:rsidRDefault="00000000" w:rsidRPr="00000000" w14:paraId="00000083">
      <w:pPr>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Rodrigo Mercado Peluffo (comandante paramilitar con estructura en Montes de María y con rol en la operación)</w:t>
      </w:r>
    </w:p>
    <w:p w:rsidR="00000000" w:rsidDel="00000000" w:rsidP="00000000" w:rsidRDefault="00000000" w:rsidRPr="00000000" w14:paraId="00000084">
      <w:pPr>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Coronel Rodrigo Quiñones (Comandante de la Primera Brigada de Infantería de Marina para la época)</w:t>
      </w:r>
    </w:p>
    <w:p w:rsidR="00000000" w:rsidDel="00000000" w:rsidP="00000000" w:rsidRDefault="00000000" w:rsidRPr="00000000" w14:paraId="00000085">
      <w:pPr>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Efraín Varela Ortiz (Víctima retornada,da testimonio)</w:t>
      </w:r>
    </w:p>
    <w:p w:rsidR="00000000" w:rsidDel="00000000" w:rsidP="00000000" w:rsidRDefault="00000000" w:rsidRPr="00000000" w14:paraId="00000086">
      <w:pPr>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Sara Martínez (da testimonio sobre lo ocurrido y la pérdida de su hijo)</w:t>
      </w:r>
    </w:p>
    <w:p w:rsidR="00000000" w:rsidDel="00000000" w:rsidP="00000000" w:rsidRDefault="00000000" w:rsidRPr="00000000" w14:paraId="00000087">
      <w:pPr>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María Magdalena Padilla Mena (Victima que asumió labores escolares ante ausencia de docentes)</w:t>
      </w:r>
    </w:p>
    <w:p w:rsidR="00000000" w:rsidDel="00000000" w:rsidP="00000000" w:rsidRDefault="00000000" w:rsidRPr="00000000" w14:paraId="00000088">
      <w:pPr>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Iván Orozco (investigador en el informe del CNMH)</w:t>
      </w:r>
    </w:p>
    <w:p w:rsidR="00000000" w:rsidDel="00000000" w:rsidP="00000000" w:rsidRDefault="00000000" w:rsidRPr="00000000" w14:paraId="00000089">
      <w:pPr>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Jesús Abad Colorado (investigador en el informe del CNMH)</w:t>
      </w:r>
    </w:p>
    <w:p w:rsidR="00000000" w:rsidDel="00000000" w:rsidP="00000000" w:rsidRDefault="00000000" w:rsidRPr="00000000" w14:paraId="0000008A">
      <w:pPr>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Jorge Restrepo (investigador en el informe del CNMH)</w:t>
      </w:r>
    </w:p>
    <w:p w:rsidR="00000000" w:rsidDel="00000000" w:rsidP="00000000" w:rsidRDefault="00000000" w:rsidRPr="00000000" w14:paraId="0000008B">
      <w:pPr>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Ramón Torres Serra ( Alcalde de El Carmen de Bolívar 1998–2000)</w:t>
      </w:r>
    </w:p>
    <w:p w:rsidR="00000000" w:rsidDel="00000000" w:rsidP="00000000" w:rsidRDefault="00000000" w:rsidRPr="00000000" w14:paraId="0000008C">
      <w:pPr>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8D">
      <w:pPr>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8E">
      <w:pPr>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8F">
      <w:pPr>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90">
      <w:pPr>
        <w:jc w:val="both"/>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91">
      <w:pPr>
        <w:jc w:val="both"/>
        <w:rPr>
          <w:rFonts w:ascii="Arial" w:cs="Arial" w:eastAsia="Arial" w:hAnsi="Arial"/>
          <w:sz w:val="24"/>
          <w:szCs w:val="24"/>
        </w:rPr>
      </w:pPr>
      <w:r w:rsidDel="00000000" w:rsidR="00000000" w:rsidRPr="00000000">
        <w:rPr>
          <w:rFonts w:ascii="Arial" w:cs="Arial" w:eastAsia="Arial" w:hAnsi="Arial"/>
          <w:b w:val="1"/>
          <w:bCs w:val="1"/>
          <w:i w:val="1"/>
          <w:iCs w:val="1"/>
          <w:sz w:val="24"/>
          <w:szCs w:val="24"/>
          <w:rtl w:val="0"/>
        </w:rPr>
        <w:t xml:space="preserve">INDICACIONES ADICIONALES:</w:t>
      </w:r>
      <w:r w:rsidDel="00000000" w:rsidR="00000000" w:rsidRPr="00000000">
        <w:rPr>
          <w:rtl w:val="0"/>
        </w:rPr>
      </w:r>
    </w:p>
    <w:p w:rsidR="00000000" w:rsidDel="00000000" w:rsidP="00000000" w:rsidRDefault="00000000" w:rsidRPr="00000000" w14:paraId="00000092">
      <w:pPr>
        <w:jc w:val="both"/>
        <w:rPr>
          <w:rFonts w:ascii="Arial" w:cs="Arial" w:eastAsia="Arial" w:hAnsi="Arial"/>
          <w:i w:val="1"/>
          <w:iCs w:val="1"/>
          <w:color w:val="000000"/>
          <w:sz w:val="24"/>
          <w:szCs w:val="24"/>
        </w:rPr>
      </w:pPr>
      <w:r w:rsidDel="00000000" w:rsidR="00000000" w:rsidRPr="00000000">
        <w:rPr>
          <w:rtl w:val="0"/>
        </w:rPr>
      </w:r>
    </w:p>
    <w:p w:rsidR="00000000" w:rsidDel="00000000" w:rsidP="00000000" w:rsidRDefault="00000000" w:rsidRPr="00000000" w14:paraId="00000093">
      <w:pPr>
        <w:numPr>
          <w:ilvl w:val="0"/>
          <w:numId w:val="7"/>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Los delegados deben tener presente que este debate busca escuchar posturas distintas. La idea es que se consideren varios puntos de vista y que, con argumentos, cada delegación intente convencer al jurado de su propuesta.</w:t>
      </w:r>
    </w:p>
    <w:p w:rsidR="00000000" w:rsidDel="00000000" w:rsidP="00000000" w:rsidRDefault="00000000" w:rsidRPr="00000000" w14:paraId="00000094">
      <w:pPr>
        <w:numPr>
          <w:ilvl w:val="0"/>
          <w:numId w:val="7"/>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Durante el debate, hablen desde la postura de su delegación/personaje, no desde su opinión personal. Eviten mezclar ideas propias que no representen a la delegación.</w:t>
      </w:r>
    </w:p>
    <w:p w:rsidR="00000000" w:rsidDel="00000000" w:rsidP="00000000" w:rsidRDefault="00000000" w:rsidRPr="00000000" w14:paraId="00000095">
      <w:pPr>
        <w:numPr>
          <w:ilvl w:val="0"/>
          <w:numId w:val="7"/>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Mantengan el respeto con la Mesa Directiva y con las demás delegaciones. Para referirse a otros, usen fórmulas como: “la delegación de…” o “el/la delegado/a de…”.</w:t>
      </w:r>
    </w:p>
    <w:p w:rsidR="00000000" w:rsidDel="00000000" w:rsidP="00000000" w:rsidRDefault="00000000" w:rsidRPr="00000000" w14:paraId="00000096">
      <w:pPr>
        <w:numPr>
          <w:ilvl w:val="0"/>
          <w:numId w:val="7"/>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Para hablar de ustedes mismos, usen tercera persona, por ejemplo: “esta delegación considera…”.</w:t>
      </w:r>
    </w:p>
    <w:p w:rsidR="00000000" w:rsidDel="00000000" w:rsidP="00000000" w:rsidRDefault="00000000" w:rsidRPr="00000000" w14:paraId="00000097">
      <w:pPr>
        <w:numPr>
          <w:ilvl w:val="0"/>
          <w:numId w:val="7"/>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Sigan el orden del debate y usen las intervenciones de forma adecuada para que el desarrollo sea claro y organizado</w:t>
      </w:r>
    </w:p>
    <w:p w:rsidR="00000000" w:rsidDel="00000000" w:rsidP="00000000" w:rsidRDefault="00000000" w:rsidRPr="00000000" w14:paraId="00000098">
      <w:pPr>
        <w:spacing w:after="0" w:line="276"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Rule="auto"/>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Rule="auto"/>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Rule="auto"/>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Rule="auto"/>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Rule="auto"/>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Rule="auto"/>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Rule="auto"/>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Rule="auto"/>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Rule="auto"/>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Rule="auto"/>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Rule="auto"/>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Rule="auto"/>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Rule="auto"/>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Rule="auto"/>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Rule="auto"/>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Rule="auto"/>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Rule="auto"/>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Rule="auto"/>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Rule="auto"/>
        <w:jc w:val="both"/>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Rule="auto"/>
        <w:jc w:val="both"/>
        <w:rPr>
          <w:rFonts w:ascii="Arial" w:cs="Arial" w:eastAsia="Arial" w:hAnsi="Arial"/>
          <w:sz w:val="24"/>
          <w:szCs w:val="24"/>
        </w:rPr>
      </w:pPr>
      <w:r w:rsidDel="00000000" w:rsidR="00000000" w:rsidRPr="00000000">
        <w:rPr>
          <w:rFonts w:ascii="Arial" w:cs="Arial" w:eastAsia="Arial" w:hAnsi="Arial"/>
          <w:i w:val="1"/>
          <w:iCs w:val="1"/>
          <w:sz w:val="24"/>
          <w:szCs w:val="24"/>
          <w:rtl w:val="0"/>
        </w:rPr>
        <w:t xml:space="preserve">PREGUNTAS ORIENTADORAS:</w:t>
      </w:r>
      <w:r w:rsidDel="00000000" w:rsidR="00000000" w:rsidRPr="00000000">
        <w:rPr>
          <w:rtl w:val="0"/>
        </w:rPr>
      </w:r>
    </w:p>
    <w:p w:rsidR="00000000" w:rsidDel="00000000" w:rsidP="00000000" w:rsidRDefault="00000000" w:rsidRPr="00000000" w14:paraId="000000AD">
      <w:pPr>
        <w:jc w:val="both"/>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AE">
      <w:pPr>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Estas preguntas deberán ser respondidas en el portafolio de los delegados y durante el debate.</w:t>
      </w:r>
    </w:p>
    <w:p w:rsidR="00000000" w:rsidDel="00000000" w:rsidP="00000000" w:rsidRDefault="00000000" w:rsidRPr="00000000" w14:paraId="000000AF">
      <w:pPr>
        <w:numPr>
          <w:ilvl w:val="0"/>
          <w:numId w:val="1"/>
        </w:numPr>
        <w:spacing w:after="0" w:afterAutospacing="0"/>
        <w:ind w:left="720" w:hanging="360"/>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¿Qué factores hacen que la violencia basada en género se silencie o quede sub denunciada en contextos de conflicto?</w:t>
      </w:r>
    </w:p>
    <w:p w:rsidR="00000000" w:rsidDel="00000000" w:rsidP="00000000" w:rsidRDefault="00000000" w:rsidRPr="00000000" w14:paraId="000000B0">
      <w:pPr>
        <w:numPr>
          <w:ilvl w:val="0"/>
          <w:numId w:val="1"/>
        </w:numPr>
        <w:spacing w:after="0" w:afterAutospacing="0"/>
        <w:ind w:left="720" w:hanging="360"/>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¿Qué barreras enfrentan las mujeres  víctimas del salado para denunciar y acceder a protección sin ponerse en más riesgo?</w:t>
      </w:r>
    </w:p>
    <w:p w:rsidR="00000000" w:rsidDel="00000000" w:rsidP="00000000" w:rsidRDefault="00000000" w:rsidRPr="00000000" w14:paraId="000000B1">
      <w:pPr>
        <w:numPr>
          <w:ilvl w:val="0"/>
          <w:numId w:val="1"/>
        </w:numPr>
        <w:spacing w:after="0" w:afterAutospacing="0"/>
        <w:ind w:left="720" w:hanging="360"/>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¿Qué responsabilidades tienen las instituciones cuando existen señales previas de amenaza contra la población civil?</w:t>
      </w:r>
    </w:p>
    <w:p w:rsidR="00000000" w:rsidDel="00000000" w:rsidP="00000000" w:rsidRDefault="00000000" w:rsidRPr="00000000" w14:paraId="000000B2">
      <w:pPr>
        <w:numPr>
          <w:ilvl w:val="0"/>
          <w:numId w:val="1"/>
        </w:numPr>
        <w:spacing w:after="0" w:afterAutospacing="0"/>
        <w:ind w:left="720" w:hanging="360"/>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¿Cómo se reduce la impunidad sin revictimizar a quienes denuncian?</w:t>
      </w:r>
    </w:p>
    <w:p w:rsidR="00000000" w:rsidDel="00000000" w:rsidP="00000000" w:rsidRDefault="00000000" w:rsidRPr="00000000" w14:paraId="000000B3">
      <w:pPr>
        <w:numPr>
          <w:ilvl w:val="0"/>
          <w:numId w:val="1"/>
        </w:numPr>
        <w:spacing w:after="0" w:afterAutospacing="0"/>
        <w:ind w:left="720" w:hanging="360"/>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¿Cuándo la reparación económica es necesaria y cuándo no alcanza para responder al daño?</w:t>
      </w:r>
    </w:p>
    <w:p w:rsidR="00000000" w:rsidDel="00000000" w:rsidP="00000000" w:rsidRDefault="00000000" w:rsidRPr="00000000" w14:paraId="000000B4">
      <w:pPr>
        <w:numPr>
          <w:ilvl w:val="0"/>
          <w:numId w:val="1"/>
        </w:numPr>
        <w:spacing w:after="0" w:afterAutospacing="0"/>
        <w:ind w:left="720" w:hanging="360"/>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¿Qué debería incluir una reparación justa: dinero, atención integral, seguridad, memoria, oportunidades, cambios territoriales?</w:t>
      </w:r>
    </w:p>
    <w:p w:rsidR="00000000" w:rsidDel="00000000" w:rsidP="00000000" w:rsidRDefault="00000000" w:rsidRPr="00000000" w14:paraId="000000B5">
      <w:pPr>
        <w:numPr>
          <w:ilvl w:val="0"/>
          <w:numId w:val="1"/>
        </w:numPr>
        <w:spacing w:after="0" w:afterAutospacing="0"/>
        <w:ind w:left="720" w:hanging="360"/>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¿Cómo se puede medir si la reparación realmente funcionó en la vida de una comunidad?</w:t>
      </w:r>
    </w:p>
    <w:p w:rsidR="00000000" w:rsidDel="00000000" w:rsidP="00000000" w:rsidRDefault="00000000" w:rsidRPr="00000000" w14:paraId="000000B6">
      <w:pPr>
        <w:numPr>
          <w:ilvl w:val="0"/>
          <w:numId w:val="1"/>
        </w:numPr>
        <w:ind w:left="720" w:hanging="360"/>
        <w:jc w:val="both"/>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¿Qué acciones concretas ayudan a garantizar la no repetición (más allá de compromisos en el papel)?</w:t>
      </w:r>
    </w:p>
    <w:p w:rsidR="00000000" w:rsidDel="00000000" w:rsidP="00000000" w:rsidRDefault="00000000" w:rsidRPr="00000000" w14:paraId="000000B7">
      <w:pPr>
        <w:jc w:val="both"/>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B8">
      <w:pPr>
        <w:jc w:val="both"/>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B9">
      <w:pPr>
        <w:jc w:val="both"/>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BA">
      <w:pPr>
        <w:jc w:val="both"/>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BB">
      <w:pPr>
        <w:jc w:val="both"/>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BC">
      <w:pPr>
        <w:jc w:val="both"/>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BD">
      <w:pPr>
        <w:jc w:val="both"/>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BE">
      <w:pPr>
        <w:jc w:val="both"/>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BF">
      <w:pPr>
        <w:jc w:val="both"/>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C0">
      <w:pPr>
        <w:jc w:val="both"/>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C1">
      <w:pPr>
        <w:jc w:val="both"/>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C2">
      <w:pPr>
        <w:jc w:val="both"/>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C3">
      <w:pPr>
        <w:jc w:val="both"/>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C4">
      <w:pPr>
        <w:jc w:val="both"/>
        <w:rPr>
          <w:rFonts w:ascii="Arial" w:cs="Arial" w:eastAsia="Arial" w:hAnsi="Arial"/>
          <w:i w:val="1"/>
          <w:iCs w:val="1"/>
          <w:smallCaps w:val="0"/>
          <w:strike w:val="0"/>
          <w:color w:val="000000"/>
          <w:sz w:val="24"/>
          <w:szCs w:val="24"/>
          <w:u w:val="none"/>
          <w:shd w:fill="auto" w:val="clear"/>
          <w:vertAlign w:val="baseline"/>
        </w:rPr>
      </w:pPr>
      <w:r w:rsidDel="00000000" w:rsidR="00000000" w:rsidRPr="00000000">
        <w:rPr>
          <w:rFonts w:ascii="Arial" w:cs="Arial" w:eastAsia="Arial" w:hAnsi="Arial"/>
          <w:i w:val="1"/>
          <w:iCs w:val="1"/>
          <w:sz w:val="24"/>
          <w:szCs w:val="24"/>
          <w:rtl w:val="0"/>
        </w:rPr>
        <w:t xml:space="preserve">BIBLIOGRAFÍA:</w:t>
      </w:r>
      <w:r w:rsidDel="00000000" w:rsidR="00000000" w:rsidRPr="00000000">
        <w:rPr>
          <w:rtl w:val="0"/>
        </w:rPr>
      </w:r>
    </w:p>
    <w:p w:rsidR="00000000" w:rsidDel="00000000" w:rsidP="00000000" w:rsidRDefault="00000000" w:rsidRPr="00000000" w14:paraId="000000C5">
      <w:pPr>
        <w:numPr>
          <w:ilvl w:val="0"/>
          <w:numId w:val="3"/>
        </w:numPr>
        <w:spacing w:after="0" w:line="48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Centro Nacional de Memoria Histórica. (2020). La masacre de El Salado: Esa guerra no era nuestra (Documento en PDF). https://centrodememoriahistorica.gov.co/wp-content/uploads/2020/02/3.-La-masacre-de-El-Salado.pdf</w:t>
      </w:r>
    </w:p>
    <w:p w:rsidR="00000000" w:rsidDel="00000000" w:rsidP="00000000" w:rsidRDefault="00000000" w:rsidRPr="00000000" w14:paraId="000000C6">
      <w:pPr>
        <w:numPr>
          <w:ilvl w:val="0"/>
          <w:numId w:val="3"/>
        </w:numPr>
        <w:spacing w:after="0" w:line="48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Comisión Colombiana de Juristas. (2021, 23 de marzo). La búsqueda no se agota: 21 años de lucha en dignidad a pesar de una reparación incompleta (Comunicado). https://www.coljuristas.org/sala_de_prensa/la-busqueda-no-se-agota-21-annos-de-lucha-en-dignidad-a-pesar-de-una-reparacion-incompleta-un-informe-que-documenta-la-historia-y-lucha-de-las-victimas-de-la-masacre-de-el-salado</w:t>
      </w:r>
    </w:p>
    <w:p w:rsidR="00000000" w:rsidDel="00000000" w:rsidP="00000000" w:rsidRDefault="00000000" w:rsidRPr="00000000" w14:paraId="000000C7">
      <w:pPr>
        <w:numPr>
          <w:ilvl w:val="0"/>
          <w:numId w:val="3"/>
        </w:numPr>
        <w:spacing w:after="0" w:line="48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Comisión de la Verdad. (s. f.). Montes de María (Etiqueta/Sección temática). Recuperado el 16 de febrero de 2026, de https://www.comisiondelaverdad.co/etiquetas/montes-de-maria</w:t>
      </w:r>
    </w:p>
    <w:p w:rsidR="00000000" w:rsidDel="00000000" w:rsidP="00000000" w:rsidRDefault="00000000" w:rsidRPr="00000000" w14:paraId="000000C8">
      <w:pPr>
        <w:numPr>
          <w:ilvl w:val="0"/>
          <w:numId w:val="3"/>
        </w:numPr>
        <w:spacing w:after="0" w:line="48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Jurisdicción Especial para la Paz. (2024, 17 de febrero). Ante la JEP, víctimas de Montes de María amplían informe entregado en el marco del Caso 08 (Comunicado de prensa). https://www.jep.gov.co/Sala-de-Prensa/Paginas/-ante-la-jep-victimas-de-montes-de-maria-amplian-informe-entregado-en-el-marco-del-caso-08.aspx</w:t>
      </w:r>
    </w:p>
    <w:p w:rsidR="00000000" w:rsidDel="00000000" w:rsidP="00000000" w:rsidRDefault="00000000" w:rsidRPr="00000000" w14:paraId="000000C9">
      <w:pPr>
        <w:numPr>
          <w:ilvl w:val="0"/>
          <w:numId w:val="3"/>
        </w:numPr>
        <w:spacing w:after="0" w:line="48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Jurisdicción Especial para la Paz. (s. f.). Caso 08: Crímenes cometidos por la fuerza pública, otros agentes del Estado o en asociación con grupos paramilitares, o terceros civiles (Página informativa). Recuperado el 16 de febrero de 2026, de https://www.jep.gov.co/macrocasos/caso08.html</w:t>
      </w:r>
    </w:p>
    <w:p w:rsidR="00000000" w:rsidDel="00000000" w:rsidP="00000000" w:rsidRDefault="00000000" w:rsidRPr="00000000" w14:paraId="000000CA">
      <w:pPr>
        <w:numPr>
          <w:ilvl w:val="0"/>
          <w:numId w:val="3"/>
        </w:numPr>
        <w:spacing w:after="0" w:line="48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Unidad para la Atención y Reparación Integral a las Víctimas. (2016). La historia de El Salado contada por las víctimas [Video]. YouTube. https://www.youtube.com/watch?v=rx5cLPixyj8</w:t>
      </w:r>
    </w:p>
    <w:p w:rsidR="00000000" w:rsidDel="00000000" w:rsidP="00000000" w:rsidRDefault="00000000" w:rsidRPr="00000000" w14:paraId="000000CB">
      <w:pPr>
        <w:numPr>
          <w:ilvl w:val="0"/>
          <w:numId w:val="3"/>
        </w:numPr>
        <w:spacing w:after="0" w:line="48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Centro Nacional de Memoria Histórica. (2012). El Salado: Rostro de una masacre (El Salado: Face of a massacre) [Video]. YouTube. https://www.youtube.com/watch?v=OrSbzIt0-Us</w:t>
      </w:r>
      <w:r w:rsidDel="00000000" w:rsidR="00000000" w:rsidRPr="00000000">
        <w:rPr>
          <w:rtl w:val="0"/>
        </w:rPr>
      </w:r>
    </w:p>
    <w:p w:rsidR="00000000" w:rsidDel="00000000" w:rsidP="00000000" w:rsidRDefault="00000000" w:rsidRPr="00000000" w14:paraId="000000CC">
      <w:pPr>
        <w:spacing w:after="0" w:line="480" w:lineRule="auto"/>
        <w:ind w:left="72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D">
      <w:pPr>
        <w:jc w:val="both"/>
        <w:rPr>
          <w:rFonts w:ascii="Arial" w:cs="Arial" w:eastAsia="Arial" w:hAnsi="Arial"/>
          <w:sz w:val="24"/>
          <w:szCs w:val="24"/>
        </w:rPr>
      </w:pPr>
      <w:r w:rsidDel="00000000" w:rsidR="00000000" w:rsidRPr="00000000">
        <w:rPr>
          <w:rtl w:val="0"/>
        </w:rPr>
      </w:r>
    </w:p>
    <w:sectPr>
      <w:headerReference r:id="rId16" w:type="default"/>
      <w:headerReference r:id="rId17" w:type="first"/>
      <w:headerReference r:id="rId18" w:type="even"/>
      <w:footerReference r:id="rId19" w:type="default"/>
      <w:pgSz w:h="12240" w:w="15840"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Spectra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1">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2">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E">
    <w:pPr>
      <w:tabs>
        <w:tab w:val="center" w:leader="none" w:pos="4419"/>
        <w:tab w:val="right" w:leader="none" w:pos="8838"/>
      </w:tabs>
      <w:spacing w:after="240" w:before="240" w:line="240" w:lineRule="auto"/>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866775</wp:posOffset>
          </wp:positionH>
          <wp:positionV relativeFrom="paragraph">
            <wp:posOffset>-449576</wp:posOffset>
          </wp:positionV>
          <wp:extent cx="7124700" cy="5674995"/>
          <wp:effectExtent b="0" l="0" r="0" t="0"/>
          <wp:wrapNone/>
          <wp:docPr id="10" name="image5.png"/>
          <a:graphic>
            <a:graphicData uri="http://schemas.openxmlformats.org/drawingml/2006/picture">
              <pic:pic>
                <pic:nvPicPr>
                  <pic:cNvPr id="0" name="image5.png"/>
                  <pic:cNvPicPr preferRelativeResize="0"/>
                </pic:nvPicPr>
                <pic:blipFill>
                  <a:blip r:embed="rId1"/>
                  <a:srcRect b="21174" l="0" r="0" t="1394"/>
                  <a:stretch>
                    <a:fillRect/>
                  </a:stretch>
                </pic:blipFill>
                <pic:spPr>
                  <a:xfrm>
                    <a:off x="0" y="0"/>
                    <a:ext cx="7124700" cy="567499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F">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9010650" cy="7846060"/>
          <wp:effectExtent b="0" l="0" r="0" t="0"/>
          <wp:wrapNone/>
          <wp:docPr id="1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010650" cy="784606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9010650" cy="7846060"/>
          <wp:effectExtent b="0" l="0" r="0" t="0"/>
          <wp:wrapNone/>
          <wp:docPr id="1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010650" cy="784606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rFonts w:ascii="Courier New" w:cs="Courier New" w:eastAsia="Courier New" w:hAnsi="Courier New"/>
      </w:rPr>
    </w:lvl>
    <w:lvl w:ilvl="2">
      <w:start w:val="1"/>
      <w:numFmt w:val="lowerRoman"/>
      <w:lvlText w:val="%3."/>
      <w:lvlJc w:val="right"/>
      <w:pPr>
        <w:ind w:left="2160" w:hanging="360"/>
      </w:pPr>
      <w:rPr>
        <w:rFonts w:ascii="Noto Sans Symbols" w:cs="Noto Sans Symbols" w:eastAsia="Noto Sans Symbols" w:hAnsi="Noto Sans Symbols"/>
      </w:rPr>
    </w:lvl>
    <w:lvl w:ilvl="3">
      <w:start w:val="1"/>
      <w:numFmt w:val="decimal"/>
      <w:lvlText w:val="%4."/>
      <w:lvlJc w:val="left"/>
      <w:pPr>
        <w:ind w:left="2880" w:hanging="360"/>
      </w:pPr>
      <w:rPr>
        <w:rFonts w:ascii="Noto Sans Symbols" w:cs="Noto Sans Symbols" w:eastAsia="Noto Sans Symbols" w:hAnsi="Noto Sans Symbols"/>
      </w:rPr>
    </w:lvl>
    <w:lvl w:ilvl="4">
      <w:start w:val="1"/>
      <w:numFmt w:val="lowerLetter"/>
      <w:lvlText w:val="%5."/>
      <w:lvlJc w:val="left"/>
      <w:pPr>
        <w:ind w:left="3600" w:hanging="360"/>
      </w:pPr>
      <w:rPr>
        <w:rFonts w:ascii="Courier New" w:cs="Courier New" w:eastAsia="Courier New" w:hAnsi="Courier New"/>
      </w:rPr>
    </w:lvl>
    <w:lvl w:ilvl="5">
      <w:start w:val="1"/>
      <w:numFmt w:val="lowerRoman"/>
      <w:lvlText w:val="%6."/>
      <w:lvlJc w:val="right"/>
      <w:pPr>
        <w:ind w:left="4320" w:hanging="360"/>
      </w:pPr>
      <w:rPr>
        <w:rFonts w:ascii="Noto Sans Symbols" w:cs="Noto Sans Symbols" w:eastAsia="Noto Sans Symbols" w:hAnsi="Noto Sans Symbols"/>
      </w:rPr>
    </w:lvl>
    <w:lvl w:ilvl="6">
      <w:start w:val="1"/>
      <w:numFmt w:val="decimal"/>
      <w:lvlText w:val="%7."/>
      <w:lvlJc w:val="left"/>
      <w:pPr>
        <w:ind w:left="5040" w:hanging="360"/>
      </w:pPr>
      <w:rPr>
        <w:rFonts w:ascii="Noto Sans Symbols" w:cs="Noto Sans Symbols" w:eastAsia="Noto Sans Symbols" w:hAnsi="Noto Sans Symbols"/>
      </w:rPr>
    </w:lvl>
    <w:lvl w:ilvl="7">
      <w:start w:val="1"/>
      <w:numFmt w:val="lowerLetter"/>
      <w:lvlText w:val="%8."/>
      <w:lvlJc w:val="left"/>
      <w:pPr>
        <w:ind w:left="5760" w:hanging="360"/>
      </w:pPr>
      <w:rPr>
        <w:rFonts w:ascii="Courier New" w:cs="Courier New" w:eastAsia="Courier New" w:hAnsi="Courier New"/>
      </w:rPr>
    </w:lvl>
    <w:lvl w:ilvl="8">
      <w:start w:val="1"/>
      <w:numFmt w:val="lowerRoman"/>
      <w:lvlText w:val="%9."/>
      <w:lvlJc w:val="righ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youtu.be/z6xTkxrfXZQ?si=KIDYTJQm_zPxj0OD" TargetMode="External"/><Relationship Id="rId10" Type="http://schemas.openxmlformats.org/officeDocument/2006/relationships/hyperlink" Target="https://centrodememoriahistorica.gov.co/wp-content/uploads/2020/02/3.-La-masacre-de-El-Salado.pdf" TargetMode="External"/><Relationship Id="rId13" Type="http://schemas.openxmlformats.org/officeDocument/2006/relationships/hyperlink" Target="https://youtu.be/rx5cLPixyj8?si=f7ZrMobCyADKxWcw" TargetMode="External"/><Relationship Id="rId12" Type="http://schemas.openxmlformats.org/officeDocument/2006/relationships/hyperlink" Target="https://youtu.be/OrSbzIt0-Us?si=c0qjUsbdArrV2VQ_"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gac.corte@gmail.com" TargetMode="External"/><Relationship Id="rId15" Type="http://schemas.openxmlformats.org/officeDocument/2006/relationships/hyperlink" Target="https://www.unidadvictimas.gov.co/reparacion-integral-individual/" TargetMode="External"/><Relationship Id="rId14" Type="http://schemas.openxmlformats.org/officeDocument/2006/relationships/hyperlink" Target="https://centrodememoriahistorica.gov.co/descargas/informes2009/informe_la_masacre_de_el_salado.pdf?utm_source" TargetMode="External"/><Relationship Id="rId17" Type="http://schemas.openxmlformats.org/officeDocument/2006/relationships/header" Target="header2.xml"/><Relationship Id="rId16" Type="http://schemas.openxmlformats.org/officeDocument/2006/relationships/header" Target="header1.xm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header" Target="header3.xml"/><Relationship Id="rId7" Type="http://schemas.openxmlformats.org/officeDocument/2006/relationships/customXml" Target="../customXML/item2.xml"/><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Spectral-regular.ttf"/><Relationship Id="rId2" Type="http://schemas.openxmlformats.org/officeDocument/2006/relationships/font" Target="fonts/Spectral-bold.ttf"/><Relationship Id="rId3" Type="http://schemas.openxmlformats.org/officeDocument/2006/relationships/font" Target="fonts/Spectral-italic.ttf"/><Relationship Id="rId4" Type="http://schemas.openxmlformats.org/officeDocument/2006/relationships/font" Target="fonts/Spectral-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StyleName="APA" SelectedStyle="/APASixthEditionOfficeOnline.xsl" Version="6">
  <b:Source>
    <b:Tag>source1</b:Tag>
    <b:SourceType>DocumentFromInternetSite</b:SourceType>
    <b:DayAccessed>6</b:DayAccessed>
    <b:MonthAccessed>April</b:MonthAccessed>
    <b:Title>Tratados de Extradición</b:Title>
    <b:URL>https://www.cancilleria.gov.co/extradicion</b:URL>
    <b:InternetSiteTitle>Extradición | Cancillería</b:InternetSiteTitle>
    <b:YearAccessed>2025</b:YearAccessed>
    <b:Gdcea>{"AccessedType":"Website"}</b:Gdcea>
    <b:Author>
      <b:Author>
        <b:Corporate>Cancilleria de Colombia.gov.co</b:Corporate>
      </b:Author>
    </b:Author>
  </b:Source>
  <b:Source>
    <b:Tag>source2</b:Tag>
    <b:SourceType>DocumentFromInternetSite</b:SourceType>
    <b:Title>El TRATADO DE EXTRADICION CONVENIO COLOMBIA - ESTADOS UNIDOS</b:Title>
    <b:URL>file:///C:/Users/maria/Downloads/10.pdf</b:URL>
    <b:Gdcea>{"AccessedType":"Website"}</b:Gdcea>
    <b:Author>
      <b:Author>
        <b:NameList>
          <b:Person>
            <b:First>LUIS</b:First>
            <b:Middle>EDUARDO</b:Middle>
            <b:Last>LOZADA PEREZ</b:Last>
          </b:Person>
        </b:NameList>
      </b:Author>
    </b:Author>
  </b:Source>
  <b:Source>
    <b:Tag>source3</b:Tag>
    <b:SourceType>DocumentFromInternetSite</b:SourceType>
    <b:Day>20</b:Day>
    <b:DayAccessed>6</b:DayAccessed>
    <b:Month>June</b:Month>
    <b:MonthAccessed>April</b:MonthAccessed>
    <b:Title>LA HISTORIA JURÍDICA DE LA EXTRADICIÓN</b:Title>
    <b:URL>https://www.eltiempo.com/archivo/documento/MAM-597829</b:URL>
    <b:InternetSiteTitle>El Tiempo</b:InternetSiteTitle>
    <b:Year>1997</b:Year>
    <b:YearAccessed>2025</b:YearAccessed>
    <b:Gdcea>{"AccessedType":"Website"}</b:Gdcea>
    <b:Author>
      <b:Author>
        <b:Corporate>El tiempo</b:Corporate>
      </b:Author>
    </b:Author>
  </b:Source>
  <b:Source>
    <b:Tag>source4</b:Tag>
    <b:SourceType>DocumentFromInternetSite</b:SourceType>
    <b:Day>14</b:Day>
    <b:DayAccessed>6</b:DayAccessed>
    <b:Month>May</b:Month>
    <b:MonthAccessed>April</b:MonthAccessed>
    <b:Title>Historia del narcotráfico en Colombia | EL ESPECTADOR</b:Title>
    <b:URL>https://www.elespectador.com/economia/historia-del-narcotrafico-en-colombia-article-632364/</b:URL>
    <b:InternetSiteTitle>El Espectador</b:InternetSiteTitle>
    <b:Year>2016</b:Year>
    <b:YearAccessed>2025</b:YearAccessed>
    <b:Gdcea>{"AccessedType":"Website"}</b:Gdcea>
    <b:Author>
      <b:Author>
        <b:NameList>
          <b:Person>
            <b:First>Eduardo</b:First>
            <b:Last>Sáenz</b:Last>
          </b:Person>
        </b:NameList>
      </b:Author>
    </b:Author>
  </b:Source>
  <b:Source>
    <b:Tag>source5</b:Tag>
    <b:SourceType>DocumentFromInternetSite</b:SourceType>
    <b:Day>10</b:Day>
    <b:DayAccessed>6</b:DayAccessed>
    <b:Month>November</b:Month>
    <b:MonthAccessed>April</b:MonthAccessed>
    <b:Title>El conflicto en Colombia como guerra por el narcotráfico: la gran falacia – Indepaz</b:Title>
    <b:URL>https://indepaz.org.co/el-conflicto-en-colombia-como-guerra-por-el-narcotrafico-la-gran-falacia-por-salomon-majbub-avendano/</b:URL>
    <b:InternetSiteTitle>Indepaz</b:InternetSiteTitle>
    <b:Year>2023</b:Year>
    <b:YearAccessed>2025</b:YearAccessed>
    <b:Gdcea>{"AccessedType":"Website"}</b:Gdcea>
    <b:Author>
      <b:Author>
        <b:NameList>
          <b:Person>
            <b:First>Paul</b:First>
            <b:Last>Collier</b:Last>
          </b:Person>
        </b:NameList>
      </b:Author>
    </b:Author>
  </b:Source>
  <b:Source>
    <b:Tag>source6</b:Tag>
    <b:SourceType>DocumentFromInternetSite</b:SourceType>
    <b:Day>1</b:Day>
    <b:DayAccessed>6</b:DayAccessed>
    <b:Month>December</b:Month>
    <b:MonthAccessed>April</b:MonthAccessed>
    <b:Title>Pablo Escobar y la extradición en Colombia</b:Title>
    <b:URL>https://www.senalmemoria.co/articulos/pablo-escobar-extradicion</b:URL>
    <b:InternetSiteTitle>Señal Memoria</b:InternetSiteTitle>
    <b:Year>2024</b:Year>
    <b:YearAccessed>2025</b:YearAccessed>
    <b:Gdcea>{"AccessedType":"Website"}</b:Gdcea>
    <b:Author>
      <b:Author>
        <b:NameList>
          <b:Person>
            <b:First>Pablo</b:First>
            <b:Last>Escobar</b:Last>
          </b:Person>
        </b:NameList>
      </b:Author>
    </b:Author>
  </b:Source>
  <b:Source>
    <b:Tag>source7</b:Tag>
    <b:SourceType>DocumentFromInternetSite</b:SourceType>
    <b:Day>4</b:Day>
    <b:DayAccessed>6</b:DayAccessed>
    <b:Month>May</b:Month>
    <b:MonthAccessed>April</b:MonthAccessed>
    <b:Title>Las obsesiones de la extradición: 1979-2019, cuatro décadas de pulso político y jurídico</b:Title>
    <b:URL>https://www.elespectador.com/colombia-20/jep-y-desaparecidos/las-obsesiones-de-la-extradicion-1979-2019-cuatro-decadas-de-pulso-politico-y-juridico-article/</b:URL>
    <b:InternetSiteTitle>El Espectador</b:InternetSiteTitle>
    <b:Year>2019</b:Year>
    <b:YearAccessed>2025</b:YearAccessed>
    <b:Gdcea>{"AccessedType":"Website"}</b:Gdcea>
  </b:Source>
  <b:Source>
    <b:Tag>source8</b:Tag>
    <b:SourceType>DocumentFromInternetSite</b:SourceType>
    <b:Day>6</b:Day>
    <b:Month>mayo</b:Month>
    <b:Title>Narcotráfico y conflicto armado en Colombia de 1973 a 1991</b:Title>
    <b:URL>https://centrodememoriahistorica.gov.co/narcotrafico-y-conflicto-armado-en-colombia-de-1973-a-1991/</b:URL>
    <b:Year>2019</b:Year>
    <b:Gdcea>{"AccessedType":"Website"}</b:Gdcea>
    <b:Author>
      <b:Author>
        <b:Corporate>Centro Nacional de memoria historica.gov.co</b:Corporate>
      </b:Author>
    </b:Author>
  </b:Source>
  <b:Source>
    <b:Tag>source9</b:Tag>
    <b:SourceType>DocumentFromInternetSite</b:SourceType>
    <b:Month>JULIO</b:Month>
    <b:Title>NARCOTRÁFICO E INTERVENCIÓN EN COLOMBIA</b:Title>
    <b:URL>https://apidspace.javeriana.edu.co/server/api/core/bitstreams/65a87165-8606-4904-b283-6fa1677db9f5/content</b:URL>
    <b:Year>2009</b:Year>
    <b:Gdcea>{"AccessedType":"Website"}</b:Gdcea>
    <b:Author>
      <b:Author>
        <b:NameList>
          <b:Person>
            <b:First>MARÍA</b:First>
            <b:Middle>FERNANDA</b:Middle>
            <b:Last>BENÍTEZ BALLESTEROS</b:Last>
          </b:Person>
        </b:NameList>
      </b:Author>
    </b:Author>
  </b:Source>
</b:Sourc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gAwB2YY7yOYSaXH7O2C8oKDQvw==">CgMxLjAyDmguaG4zdHE5azJzc2VnOAByITF5Xzk1ajdCTV94V09MMzdqd3FxaUF6ODJWOXNMMDUtag==</go:docsCustomData>
</go:gDocsCustomXmlDataStorage>
</file>

<file path=customXML/itemProps1.xml><?xml version="1.0" encoding="utf-8"?>
<ds:datastoreItem xmlns:ds="http://schemas.openxmlformats.org/officeDocument/2006/customXml" ds:itemID="{22222222-1234-1234-1234-12341234123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